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73037" w14:textId="0447AAE3" w:rsidR="00D77A8B" w:rsidRPr="00442032" w:rsidRDefault="00D77A8B" w:rsidP="00264D45">
      <w:pPr>
        <w:rPr>
          <w:rFonts w:ascii="AdvPSA05F" w:hAnsi="AdvPSA05F" w:cs="AdvPSA05F"/>
          <w:sz w:val="16"/>
          <w:szCs w:val="16"/>
        </w:rPr>
      </w:pPr>
      <w:bookmarkStart w:id="0" w:name="_GoBack"/>
      <w:r w:rsidRPr="00442032">
        <w:rPr>
          <w:rFonts w:ascii="AdvPSA05F" w:hAnsi="AdvPSA05F" w:cs="AdvPSA05F"/>
          <w:sz w:val="16"/>
          <w:szCs w:val="16"/>
        </w:rPr>
        <w:t>Article title:</w:t>
      </w:r>
      <w:r w:rsidRPr="00442032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</w:t>
      </w:r>
      <w:proofErr w:type="spellStart"/>
      <w:r w:rsidR="00264D45" w:rsidRPr="00264D45">
        <w:rPr>
          <w:rFonts w:ascii="AdvPSA05F" w:hAnsi="AdvPSA05F" w:cs="AdvPSA05F"/>
          <w:sz w:val="16"/>
          <w:szCs w:val="16"/>
        </w:rPr>
        <w:t>Transtibial</w:t>
      </w:r>
      <w:proofErr w:type="spellEnd"/>
      <w:r w:rsidR="00264D45" w:rsidRPr="00264D45">
        <w:rPr>
          <w:rFonts w:ascii="AdvPSA05F" w:hAnsi="AdvPSA05F" w:cs="AdvPSA05F"/>
          <w:sz w:val="16"/>
          <w:szCs w:val="16"/>
        </w:rPr>
        <w:t xml:space="preserve"> versus Independent Femoral Tunnel Drilling Techniques for Anterior Cruciate Ligament reconstruction: Evaluation of Femoral Aperture Positioning.</w:t>
      </w:r>
      <w:r w:rsidR="00264D45">
        <w:rPr>
          <w:rFonts w:ascii="AdvPSA05F" w:hAnsi="AdvPSA05F" w:cs="AdvPSA05F"/>
          <w:sz w:val="16"/>
          <w:szCs w:val="16"/>
        </w:rPr>
        <w:t xml:space="preserve"> </w:t>
      </w:r>
      <w:r w:rsidR="00264D45" w:rsidRPr="00264D45">
        <w:rPr>
          <w:rFonts w:ascii="AdvPSA05F" w:hAnsi="AdvPSA05F" w:cs="AdvPSA05F"/>
          <w:sz w:val="16"/>
          <w:szCs w:val="16"/>
        </w:rPr>
        <w:t>A Systematic review and Meta-analysis</w:t>
      </w:r>
    </w:p>
    <w:p w14:paraId="7DBC1300" w14:textId="0E8B05CB" w:rsidR="00D6143E" w:rsidRPr="00D6143E" w:rsidRDefault="00D77A8B" w:rsidP="00D6143E">
      <w:pPr>
        <w:rPr>
          <w:rFonts w:ascii="AdvPSA05F" w:hAnsi="AdvPSA05F" w:cs="AdvPSA05F"/>
          <w:sz w:val="16"/>
          <w:szCs w:val="16"/>
        </w:rPr>
      </w:pPr>
      <w:r w:rsidRPr="00442032">
        <w:rPr>
          <w:rFonts w:ascii="AdvPSA05F" w:hAnsi="AdvPSA05F" w:cs="AdvPSA05F"/>
          <w:sz w:val="16"/>
          <w:szCs w:val="16"/>
        </w:rPr>
        <w:t>Journal name</w:t>
      </w:r>
      <w:r w:rsidR="00264D45">
        <w:rPr>
          <w:rFonts w:ascii="AdvPSA05F" w:hAnsi="AdvPSA05F" w:cs="AdvPSA05F"/>
          <w:sz w:val="16"/>
          <w:szCs w:val="16"/>
        </w:rPr>
        <w:t xml:space="preserve">: </w:t>
      </w:r>
      <w:r w:rsidR="002B6BD5" w:rsidRPr="002B6BD5">
        <w:rPr>
          <w:rFonts w:ascii="AdvPSA05F" w:hAnsi="AdvPSA05F" w:cs="AdvPSA05F"/>
          <w:sz w:val="16"/>
          <w:szCs w:val="16"/>
        </w:rPr>
        <w:t xml:space="preserve">Journal of </w:t>
      </w:r>
      <w:proofErr w:type="spellStart"/>
      <w:r w:rsidR="002B6BD5" w:rsidRPr="002B6BD5">
        <w:rPr>
          <w:rFonts w:ascii="AdvPSA05F" w:hAnsi="AdvPSA05F" w:cs="AdvPSA05F"/>
          <w:sz w:val="16"/>
          <w:szCs w:val="16"/>
        </w:rPr>
        <w:t>Orthopaedic</w:t>
      </w:r>
      <w:proofErr w:type="spellEnd"/>
      <w:r w:rsidR="002B6BD5" w:rsidRPr="002B6BD5">
        <w:rPr>
          <w:rFonts w:ascii="AdvPSA05F" w:hAnsi="AdvPSA05F" w:cs="AdvPSA05F"/>
          <w:sz w:val="16"/>
          <w:szCs w:val="16"/>
        </w:rPr>
        <w:t xml:space="preserve"> Surgery and Research</w:t>
      </w:r>
    </w:p>
    <w:p w14:paraId="72614994" w14:textId="3331D6A5" w:rsidR="00D77A8B" w:rsidRPr="00442032" w:rsidRDefault="00D77A8B" w:rsidP="00D6143E">
      <w:pPr>
        <w:rPr>
          <w:rFonts w:ascii="AdvPSA05F" w:hAnsi="AdvPSA05F" w:cs="AdvPSA05F"/>
          <w:sz w:val="16"/>
          <w:szCs w:val="16"/>
          <w:vertAlign w:val="superscript"/>
        </w:rPr>
      </w:pPr>
      <w:r w:rsidRPr="00442032">
        <w:rPr>
          <w:rFonts w:ascii="AdvPSA05F" w:hAnsi="AdvPSA05F" w:cs="AdvPSA05F"/>
          <w:sz w:val="16"/>
          <w:szCs w:val="16"/>
        </w:rPr>
        <w:t xml:space="preserve">Author names and affiliation: </w:t>
      </w:r>
      <w:bookmarkStart w:id="1" w:name="_Hlk58829162"/>
      <w:proofErr w:type="spellStart"/>
      <w:r w:rsidRPr="00442032">
        <w:rPr>
          <w:rFonts w:ascii="AdvPSA05F" w:hAnsi="AdvPSA05F" w:cs="AdvPSA05F"/>
          <w:sz w:val="16"/>
          <w:szCs w:val="16"/>
        </w:rPr>
        <w:t>Haitham</w:t>
      </w:r>
      <w:proofErr w:type="spellEnd"/>
      <w:r w:rsidRPr="00442032">
        <w:rPr>
          <w:rFonts w:ascii="AdvPSA05F" w:hAnsi="AdvPSA05F" w:cs="AdvPSA05F"/>
          <w:sz w:val="16"/>
          <w:szCs w:val="16"/>
        </w:rPr>
        <w:t xml:space="preserve"> K. Haroun</w:t>
      </w:r>
      <w:r w:rsidRPr="00442032">
        <w:rPr>
          <w:rFonts w:ascii="AdvPSA05F" w:hAnsi="AdvPSA05F" w:cs="AdvPSA05F"/>
          <w:sz w:val="16"/>
          <w:szCs w:val="16"/>
          <w:vertAlign w:val="superscript"/>
          <w:lang w:val="nl-NL"/>
        </w:rPr>
        <w:t>1</w:t>
      </w:r>
      <w:bookmarkEnd w:id="1"/>
      <w:r w:rsidRPr="00442032">
        <w:rPr>
          <w:rFonts w:ascii="AdvPSA05F" w:hAnsi="AdvPSA05F" w:cs="AdvPSA05F"/>
          <w:sz w:val="16"/>
          <w:szCs w:val="16"/>
          <w:lang w:val="nl-NL"/>
        </w:rPr>
        <w:t xml:space="preserve">, </w:t>
      </w:r>
      <w:proofErr w:type="spellStart"/>
      <w:r w:rsidRPr="00442032">
        <w:rPr>
          <w:rFonts w:ascii="AdvPSA05F" w:hAnsi="AdvPSA05F" w:cs="AdvPSA05F"/>
          <w:sz w:val="16"/>
          <w:szCs w:val="16"/>
        </w:rPr>
        <w:t>Maged</w:t>
      </w:r>
      <w:proofErr w:type="spellEnd"/>
      <w:r w:rsidRPr="00442032">
        <w:rPr>
          <w:rFonts w:ascii="AdvPSA05F" w:hAnsi="AdvPSA05F" w:cs="AdvPSA05F"/>
          <w:sz w:val="16"/>
          <w:szCs w:val="16"/>
        </w:rPr>
        <w:t xml:space="preserve"> M. </w:t>
      </w:r>
      <w:proofErr w:type="spellStart"/>
      <w:r w:rsidRPr="00442032">
        <w:rPr>
          <w:rFonts w:ascii="AdvPSA05F" w:hAnsi="AdvPSA05F" w:cs="AdvPSA05F"/>
          <w:sz w:val="16"/>
          <w:szCs w:val="16"/>
        </w:rPr>
        <w:t>Abouelsoud</w:t>
      </w:r>
      <w:proofErr w:type="spellEnd"/>
      <w:r w:rsidRPr="00442032">
        <w:rPr>
          <w:rFonts w:ascii="AdvPSA05F" w:hAnsi="AdvPSA05F" w:cs="AdvPSA05F"/>
          <w:sz w:val="16"/>
          <w:szCs w:val="16"/>
          <w:vertAlign w:val="superscript"/>
          <w:lang w:val="nl-NL"/>
        </w:rPr>
        <w:t>1</w:t>
      </w:r>
      <w:r w:rsidRPr="00442032">
        <w:rPr>
          <w:rFonts w:ascii="AdvPSA05F" w:hAnsi="AdvPSA05F" w:cs="AdvPSA05F"/>
          <w:sz w:val="16"/>
          <w:szCs w:val="16"/>
          <w:lang w:val="nl-NL"/>
        </w:rPr>
        <w:t xml:space="preserve">, </w:t>
      </w:r>
      <w:r w:rsidRPr="00442032">
        <w:rPr>
          <w:rFonts w:ascii="AdvPSA05F" w:hAnsi="AdvPSA05F" w:cs="AdvPSA05F"/>
          <w:sz w:val="16"/>
          <w:szCs w:val="16"/>
        </w:rPr>
        <w:t xml:space="preserve">Mohamed R. </w:t>
      </w:r>
      <w:proofErr w:type="spellStart"/>
      <w:r w:rsidRPr="00442032">
        <w:rPr>
          <w:rFonts w:ascii="AdvPSA05F" w:hAnsi="AdvPSA05F" w:cs="AdvPSA05F"/>
          <w:sz w:val="16"/>
          <w:szCs w:val="16"/>
        </w:rPr>
        <w:t>Allam</w:t>
      </w:r>
      <w:proofErr w:type="spellEnd"/>
      <w:r w:rsidRPr="00442032">
        <w:rPr>
          <w:rFonts w:ascii="AdvPSA05F" w:hAnsi="AdvPSA05F" w:cs="AdvPSA05F"/>
          <w:sz w:val="16"/>
          <w:szCs w:val="16"/>
          <w:vertAlign w:val="superscript"/>
          <w:lang w:val="nl-NL"/>
        </w:rPr>
        <w:t xml:space="preserve"> 2</w:t>
      </w:r>
      <w:r w:rsidRPr="00442032">
        <w:rPr>
          <w:rFonts w:ascii="AdvPSA05F" w:hAnsi="AdvPSA05F" w:cs="AdvPSA05F"/>
          <w:sz w:val="16"/>
          <w:szCs w:val="16"/>
          <w:lang w:val="nl-NL"/>
        </w:rPr>
        <w:t>, and Mahmoud M. Abdelwahab</w:t>
      </w:r>
      <w:r w:rsidRPr="00442032">
        <w:rPr>
          <w:rFonts w:ascii="AdvPSA05F" w:hAnsi="AdvPSA05F" w:cs="AdvPSA05F"/>
          <w:sz w:val="16"/>
          <w:szCs w:val="16"/>
          <w:vertAlign w:val="superscript"/>
          <w:lang w:val="nl-NL"/>
        </w:rPr>
        <w:t>1</w:t>
      </w:r>
    </w:p>
    <w:p w14:paraId="4542849F" w14:textId="2DE968C4" w:rsidR="00D77A8B" w:rsidRDefault="00D77A8B" w:rsidP="00EE165B">
      <w:pPr>
        <w:rPr>
          <w:rFonts w:ascii="AdvPSA05F" w:hAnsi="AdvPSA05F" w:cs="AdvPSA05F"/>
          <w:iCs/>
          <w:sz w:val="16"/>
          <w:szCs w:val="16"/>
        </w:rPr>
      </w:pPr>
      <w:r w:rsidRPr="00442032">
        <w:rPr>
          <w:rFonts w:ascii="AdvPSA05F" w:hAnsi="AdvPSA05F" w:cs="AdvPSA05F"/>
          <w:sz w:val="16"/>
          <w:szCs w:val="16"/>
          <w:vertAlign w:val="superscript"/>
        </w:rPr>
        <w:t xml:space="preserve">1 </w:t>
      </w:r>
      <w:bookmarkStart w:id="2" w:name="_Hlk58831311"/>
      <w:r w:rsidRPr="00442032">
        <w:rPr>
          <w:rFonts w:ascii="AdvPSA05F" w:hAnsi="AdvPSA05F" w:cs="AdvPSA05F"/>
          <w:iCs/>
          <w:sz w:val="16"/>
          <w:szCs w:val="16"/>
        </w:rPr>
        <w:t>Orthopedic Department, Faculty of Medicine, Ain Shams University</w:t>
      </w:r>
      <w:bookmarkEnd w:id="2"/>
      <w:r w:rsidRPr="00442032">
        <w:rPr>
          <w:rFonts w:ascii="AdvPSA05F" w:hAnsi="AdvPSA05F" w:cs="AdvPSA05F"/>
          <w:iCs/>
          <w:sz w:val="16"/>
          <w:szCs w:val="16"/>
        </w:rPr>
        <w:t xml:space="preserve">, </w:t>
      </w:r>
      <w:bookmarkStart w:id="3" w:name="_Hlk58829386"/>
      <w:r w:rsidRPr="00442032">
        <w:rPr>
          <w:rFonts w:ascii="AdvPSA05F" w:hAnsi="AdvPSA05F" w:cs="AdvPSA05F"/>
          <w:iCs/>
          <w:sz w:val="16"/>
          <w:szCs w:val="16"/>
        </w:rPr>
        <w:t>Cairo, Egypt</w:t>
      </w:r>
      <w:bookmarkEnd w:id="3"/>
    </w:p>
    <w:p w14:paraId="6E650250" w14:textId="5B821C4F" w:rsidR="008F3CE1" w:rsidRPr="008F3CE1" w:rsidRDefault="008F3CE1" w:rsidP="008F3CE1">
      <w:pPr>
        <w:rPr>
          <w:rFonts w:ascii="AdvPSA05F" w:hAnsi="AdvPSA05F" w:cs="AdvPSA05F"/>
          <w:iCs/>
          <w:sz w:val="16"/>
          <w:szCs w:val="16"/>
        </w:rPr>
      </w:pPr>
      <w:r w:rsidRPr="008F3CE1">
        <w:rPr>
          <w:rFonts w:ascii="AdvPSA05F" w:hAnsi="AdvPSA05F" w:cs="AdvPSA05F"/>
          <w:iCs/>
          <w:sz w:val="16"/>
          <w:szCs w:val="16"/>
          <w:vertAlign w:val="superscript"/>
        </w:rPr>
        <w:t>2</w:t>
      </w:r>
      <w:r w:rsidRPr="008F3CE1">
        <w:rPr>
          <w:rFonts w:ascii="AdvPSA05F" w:hAnsi="AdvPSA05F" w:cs="AdvPSA05F"/>
          <w:iCs/>
          <w:sz w:val="16"/>
          <w:szCs w:val="16"/>
        </w:rPr>
        <w:t xml:space="preserve">El </w:t>
      </w:r>
      <w:proofErr w:type="spellStart"/>
      <w:r w:rsidRPr="008F3CE1">
        <w:rPr>
          <w:rFonts w:ascii="AdvPSA05F" w:hAnsi="AdvPSA05F" w:cs="AdvPSA05F"/>
          <w:iCs/>
          <w:sz w:val="16"/>
          <w:szCs w:val="16"/>
        </w:rPr>
        <w:t>Demerdash</w:t>
      </w:r>
      <w:proofErr w:type="spellEnd"/>
      <w:r w:rsidRPr="008F3CE1">
        <w:rPr>
          <w:rFonts w:ascii="AdvPSA05F" w:hAnsi="AdvPSA05F" w:cs="AdvPSA05F"/>
          <w:iCs/>
          <w:sz w:val="16"/>
          <w:szCs w:val="16"/>
        </w:rPr>
        <w:t xml:space="preserve"> Hospital, Ain-Shams University, Cairo, Egypt</w:t>
      </w:r>
    </w:p>
    <w:p w14:paraId="325A4C4F" w14:textId="77777777" w:rsidR="00556498" w:rsidRDefault="00D77A8B" w:rsidP="00556498">
      <w:pPr>
        <w:rPr>
          <w:rFonts w:ascii="AdvPSA05F" w:hAnsi="AdvPSA05F" w:cs="AdvPSA05F"/>
          <w:b/>
          <w:bCs/>
          <w:iCs/>
          <w:sz w:val="16"/>
          <w:szCs w:val="16"/>
        </w:rPr>
      </w:pPr>
      <w:r w:rsidRPr="00442032">
        <w:rPr>
          <w:rFonts w:ascii="AdvPSA05F" w:hAnsi="AdvPSA05F" w:cs="AdvPSA05F"/>
          <w:sz w:val="16"/>
          <w:szCs w:val="16"/>
        </w:rPr>
        <w:t xml:space="preserve">e-mail address of the corresponding author: </w:t>
      </w:r>
      <w:bookmarkStart w:id="4" w:name="_Hlk58141394"/>
      <w:bookmarkStart w:id="5" w:name="_Hlk58169367"/>
      <w:bookmarkStart w:id="6" w:name="_Hlk58834804"/>
      <w:r w:rsidR="00556498" w:rsidRPr="00556498">
        <w:rPr>
          <w:rFonts w:ascii="AdvPSA05F" w:hAnsi="AdvPSA05F" w:cs="AdvPSA05F"/>
          <w:iCs/>
          <w:sz w:val="16"/>
          <w:szCs w:val="16"/>
          <w:lang w:val="en-GB"/>
        </w:rPr>
        <w:t>haroun.haitham@med.asu.edu.eg</w:t>
      </w:r>
      <w:r w:rsidR="00556498" w:rsidRPr="00556498">
        <w:rPr>
          <w:rFonts w:ascii="AdvPSA05F" w:hAnsi="AdvPSA05F" w:cs="AdvPSA05F"/>
          <w:b/>
          <w:bCs/>
          <w:iCs/>
          <w:sz w:val="16"/>
          <w:szCs w:val="16"/>
        </w:rPr>
        <w:t xml:space="preserve"> </w:t>
      </w:r>
    </w:p>
    <w:p w14:paraId="6FFBF42A" w14:textId="32AFBDA7" w:rsidR="00EE0166" w:rsidRPr="00D6143E" w:rsidRDefault="002B6BD5" w:rsidP="00556498">
      <w:pPr>
        <w:jc w:val="center"/>
        <w:rPr>
          <w:b/>
          <w:bCs/>
          <w:color w:val="000000" w:themeColor="text1"/>
          <w:sz w:val="20"/>
          <w:szCs w:val="20"/>
        </w:rPr>
      </w:pPr>
      <w:r>
        <w:rPr>
          <w:rFonts w:ascii="AdvPSA05F" w:hAnsi="AdvPSA05F" w:cs="AdvPSA05F"/>
          <w:b/>
          <w:bCs/>
          <w:sz w:val="20"/>
          <w:szCs w:val="20"/>
        </w:rPr>
        <w:t>Additional</w:t>
      </w:r>
      <w:r w:rsidR="00C63A0F" w:rsidRPr="00D6143E">
        <w:rPr>
          <w:rFonts w:ascii="AdvPSA05F" w:hAnsi="AdvPSA05F" w:cs="AdvPSA05F"/>
          <w:b/>
          <w:bCs/>
          <w:sz w:val="20"/>
          <w:szCs w:val="20"/>
        </w:rPr>
        <w:t xml:space="preserve"> file </w:t>
      </w:r>
      <w:r w:rsidR="00406051" w:rsidRPr="00D6143E">
        <w:rPr>
          <w:rFonts w:ascii="AdvPSA05F" w:hAnsi="AdvPSA05F" w:cs="AdvPSA05F"/>
          <w:b/>
          <w:bCs/>
          <w:sz w:val="20"/>
          <w:szCs w:val="20"/>
        </w:rPr>
        <w:t>4-a:</w:t>
      </w:r>
      <w:bookmarkEnd w:id="4"/>
      <w:r w:rsidR="00406051" w:rsidRPr="00D6143E">
        <w:rPr>
          <w:rFonts w:ascii="AdvPSA05F" w:hAnsi="AdvPSA05F" w:cs="AdvPSA05F"/>
          <w:b/>
          <w:bCs/>
          <w:sz w:val="20"/>
          <w:szCs w:val="20"/>
        </w:rPr>
        <w:t xml:space="preserve"> </w:t>
      </w:r>
      <w:r w:rsidR="00EE0166" w:rsidRPr="00D6143E">
        <w:rPr>
          <w:b/>
          <w:bCs/>
          <w:color w:val="000000" w:themeColor="text1"/>
          <w:sz w:val="20"/>
          <w:szCs w:val="20"/>
        </w:rPr>
        <w:t>Femoral aperture localization strategy utilized in TT technique in included studies.</w:t>
      </w:r>
      <w:bookmarkEnd w:id="5"/>
    </w:p>
    <w:tbl>
      <w:tblPr>
        <w:tblStyle w:val="TableGrid12"/>
        <w:tblpPr w:leftFromText="180" w:rightFromText="180" w:vertAnchor="text" w:tblpY="1"/>
        <w:tblOverlap w:val="never"/>
        <w:tblW w:w="4477" w:type="dxa"/>
        <w:tblLayout w:type="fixed"/>
        <w:tblLook w:val="04A0" w:firstRow="1" w:lastRow="0" w:firstColumn="1" w:lastColumn="0" w:noHBand="0" w:noVBand="1"/>
      </w:tblPr>
      <w:tblGrid>
        <w:gridCol w:w="985"/>
        <w:gridCol w:w="8"/>
        <w:gridCol w:w="2584"/>
        <w:gridCol w:w="270"/>
        <w:gridCol w:w="630"/>
      </w:tblGrid>
      <w:tr w:rsidR="00EE0166" w:rsidRPr="00F7755D" w14:paraId="3A3C5057" w14:textId="77777777" w:rsidTr="00C63A0F">
        <w:trPr>
          <w:trHeight w:val="638"/>
        </w:trPr>
        <w:tc>
          <w:tcPr>
            <w:tcW w:w="3577" w:type="dxa"/>
            <w:gridSpan w:val="3"/>
            <w:shd w:val="clear" w:color="auto" w:fill="E7E6E6" w:themeFill="background2"/>
            <w:vAlign w:val="center"/>
          </w:tcPr>
          <w:bookmarkEnd w:id="6"/>
          <w:p w14:paraId="2FD2D9A8" w14:textId="29DFC89B" w:rsidR="00EE0166" w:rsidRPr="00F7755D" w:rsidRDefault="005B08EC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Localization</w:t>
            </w:r>
            <w:r w:rsidR="00EE0166"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 xml:space="preserve"> strategy </w:t>
            </w:r>
          </w:p>
        </w:tc>
        <w:tc>
          <w:tcPr>
            <w:tcW w:w="900" w:type="dxa"/>
            <w:gridSpan w:val="2"/>
            <w:shd w:val="clear" w:color="auto" w:fill="E7E6E6" w:themeFill="background2"/>
            <w:vAlign w:val="center"/>
          </w:tcPr>
          <w:p w14:paraId="46F4D92C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No of studies</w:t>
            </w:r>
          </w:p>
        </w:tc>
      </w:tr>
      <w:tr w:rsidR="00EE0166" w:rsidRPr="00F7755D" w14:paraId="54317635" w14:textId="77777777" w:rsidTr="00C63A0F">
        <w:trPr>
          <w:trHeight w:val="152"/>
        </w:trPr>
        <w:tc>
          <w:tcPr>
            <w:tcW w:w="985" w:type="dxa"/>
            <w:vMerge w:val="restart"/>
            <w:shd w:val="clear" w:color="auto" w:fill="E7E6E6" w:themeFill="background2"/>
            <w:vAlign w:val="center"/>
          </w:tcPr>
          <w:p w14:paraId="36E2EDE7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Using</w:t>
            </w:r>
          </w:p>
          <w:p w14:paraId="3ACD77A8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offset guide</w:t>
            </w:r>
          </w:p>
          <w:p w14:paraId="77743F78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(OG)</w:t>
            </w:r>
          </w:p>
        </w:tc>
        <w:tc>
          <w:tcPr>
            <w:tcW w:w="2592" w:type="dxa"/>
            <w:gridSpan w:val="2"/>
            <w:tcBorders>
              <w:bottom w:val="single" w:sz="4" w:space="0" w:color="auto"/>
            </w:tcBorders>
            <w:vAlign w:val="center"/>
          </w:tcPr>
          <w:p w14:paraId="41B3DDD2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OG only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vAlign w:val="center"/>
          </w:tcPr>
          <w:p w14:paraId="2C51AB9D" w14:textId="13FFBF0B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16"/>
                <w:szCs w:val="16"/>
              </w:rPr>
              <w:t>1</w:t>
            </w:r>
            <w:r w:rsidR="00C21AFA"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16"/>
                <w:szCs w:val="16"/>
              </w:rPr>
              <w:t>2</w:t>
            </w:r>
          </w:p>
        </w:tc>
      </w:tr>
      <w:tr w:rsidR="00EE0166" w:rsidRPr="00F7755D" w14:paraId="5C244DF9" w14:textId="77777777" w:rsidTr="00C63A0F">
        <w:trPr>
          <w:trHeight w:val="188"/>
        </w:trPr>
        <w:tc>
          <w:tcPr>
            <w:tcW w:w="985" w:type="dxa"/>
            <w:vMerge/>
            <w:shd w:val="clear" w:color="auto" w:fill="E7E6E6" w:themeFill="background2"/>
            <w:vAlign w:val="center"/>
          </w:tcPr>
          <w:p w14:paraId="0890B6BC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92" w:type="dxa"/>
            <w:gridSpan w:val="2"/>
            <w:tcBorders>
              <w:bottom w:val="nil"/>
            </w:tcBorders>
            <w:vAlign w:val="center"/>
          </w:tcPr>
          <w:p w14:paraId="32BEF7D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OG and another method</w:t>
            </w:r>
          </w:p>
        </w:tc>
        <w:tc>
          <w:tcPr>
            <w:tcW w:w="900" w:type="dxa"/>
            <w:gridSpan w:val="2"/>
            <w:tcBorders>
              <w:bottom w:val="nil"/>
            </w:tcBorders>
            <w:vAlign w:val="center"/>
          </w:tcPr>
          <w:p w14:paraId="633750D1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16"/>
                <w:szCs w:val="16"/>
              </w:rPr>
              <w:t>25</w:t>
            </w:r>
          </w:p>
        </w:tc>
      </w:tr>
      <w:tr w:rsidR="00EE0166" w:rsidRPr="00F7755D" w14:paraId="73216460" w14:textId="77777777" w:rsidTr="00C63A0F">
        <w:trPr>
          <w:trHeight w:val="109"/>
        </w:trPr>
        <w:tc>
          <w:tcPr>
            <w:tcW w:w="985" w:type="dxa"/>
            <w:vMerge/>
            <w:shd w:val="clear" w:color="auto" w:fill="E7E6E6" w:themeFill="background2"/>
            <w:vAlign w:val="center"/>
          </w:tcPr>
          <w:p w14:paraId="77D02072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92" w:type="dxa"/>
            <w:gridSpan w:val="2"/>
            <w:tcBorders>
              <w:top w:val="nil"/>
              <w:bottom w:val="nil"/>
            </w:tcBorders>
            <w:vAlign w:val="center"/>
          </w:tcPr>
          <w:p w14:paraId="0679B133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+FP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center"/>
          </w:tcPr>
          <w:p w14:paraId="058FA7B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12</w:t>
            </w:r>
          </w:p>
        </w:tc>
      </w:tr>
      <w:tr w:rsidR="00EE0166" w:rsidRPr="00F7755D" w14:paraId="04DA4575" w14:textId="77777777" w:rsidTr="00C63A0F">
        <w:trPr>
          <w:trHeight w:val="109"/>
        </w:trPr>
        <w:tc>
          <w:tcPr>
            <w:tcW w:w="985" w:type="dxa"/>
            <w:vMerge/>
            <w:shd w:val="clear" w:color="auto" w:fill="E7E6E6" w:themeFill="background2"/>
            <w:vAlign w:val="center"/>
          </w:tcPr>
          <w:p w14:paraId="6314BBB9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92" w:type="dxa"/>
            <w:gridSpan w:val="2"/>
            <w:tcBorders>
              <w:top w:val="nil"/>
              <w:bottom w:val="nil"/>
            </w:tcBorders>
            <w:vAlign w:val="center"/>
          </w:tcPr>
          <w:p w14:paraId="2D7283FF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+CF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center"/>
          </w:tcPr>
          <w:p w14:paraId="1D3E94AC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6</w:t>
            </w:r>
          </w:p>
        </w:tc>
      </w:tr>
      <w:tr w:rsidR="00EE0166" w:rsidRPr="00F7755D" w14:paraId="4602FF6F" w14:textId="77777777" w:rsidTr="00C63A0F">
        <w:trPr>
          <w:trHeight w:val="109"/>
        </w:trPr>
        <w:tc>
          <w:tcPr>
            <w:tcW w:w="985" w:type="dxa"/>
            <w:vMerge/>
            <w:shd w:val="clear" w:color="auto" w:fill="E7E6E6" w:themeFill="background2"/>
            <w:vAlign w:val="center"/>
          </w:tcPr>
          <w:p w14:paraId="44A74B1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92" w:type="dxa"/>
            <w:gridSpan w:val="2"/>
            <w:tcBorders>
              <w:top w:val="nil"/>
              <w:bottom w:val="nil"/>
            </w:tcBorders>
            <w:vAlign w:val="center"/>
          </w:tcPr>
          <w:p w14:paraId="60F92E16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 xml:space="preserve">+FP + CF 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center"/>
          </w:tcPr>
          <w:p w14:paraId="5269F5AE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</w:tr>
      <w:tr w:rsidR="00EE0166" w:rsidRPr="00F7755D" w14:paraId="7865EFC9" w14:textId="77777777" w:rsidTr="00C63A0F">
        <w:trPr>
          <w:trHeight w:val="109"/>
        </w:trPr>
        <w:tc>
          <w:tcPr>
            <w:tcW w:w="985" w:type="dxa"/>
            <w:vMerge/>
            <w:shd w:val="clear" w:color="auto" w:fill="E7E6E6" w:themeFill="background2"/>
            <w:vAlign w:val="center"/>
          </w:tcPr>
          <w:p w14:paraId="7C0E1C63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92" w:type="dxa"/>
            <w:gridSpan w:val="2"/>
            <w:tcBorders>
              <w:top w:val="nil"/>
              <w:bottom w:val="nil"/>
            </w:tcBorders>
            <w:vAlign w:val="center"/>
          </w:tcPr>
          <w:p w14:paraId="446404B7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 FP+LM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center"/>
          </w:tcPr>
          <w:p w14:paraId="4C15B8F8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</w:tr>
      <w:tr w:rsidR="00EE0166" w:rsidRPr="00F7755D" w14:paraId="0F224071" w14:textId="77777777" w:rsidTr="00C63A0F">
        <w:trPr>
          <w:trHeight w:val="109"/>
        </w:trPr>
        <w:tc>
          <w:tcPr>
            <w:tcW w:w="985" w:type="dxa"/>
            <w:vMerge/>
            <w:shd w:val="clear" w:color="auto" w:fill="E7E6E6" w:themeFill="background2"/>
            <w:vAlign w:val="center"/>
          </w:tcPr>
          <w:p w14:paraId="79ACEF39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92" w:type="dxa"/>
            <w:gridSpan w:val="2"/>
            <w:tcBorders>
              <w:top w:val="nil"/>
              <w:bottom w:val="nil"/>
            </w:tcBorders>
            <w:vAlign w:val="center"/>
          </w:tcPr>
          <w:p w14:paraId="7A624BA0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+Fluoroscopy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center"/>
          </w:tcPr>
          <w:p w14:paraId="27FC24F3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</w:tr>
      <w:tr w:rsidR="00EE0166" w:rsidRPr="00F7755D" w14:paraId="01087897" w14:textId="77777777" w:rsidTr="00C63A0F">
        <w:trPr>
          <w:trHeight w:val="109"/>
        </w:trPr>
        <w:tc>
          <w:tcPr>
            <w:tcW w:w="985" w:type="dxa"/>
            <w:vMerge/>
            <w:shd w:val="clear" w:color="auto" w:fill="E7E6E6" w:themeFill="background2"/>
            <w:vAlign w:val="center"/>
          </w:tcPr>
          <w:p w14:paraId="300EF170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92" w:type="dxa"/>
            <w:gridSpan w:val="2"/>
            <w:tcBorders>
              <w:top w:val="nil"/>
              <w:bottom w:val="nil"/>
            </w:tcBorders>
            <w:vAlign w:val="center"/>
          </w:tcPr>
          <w:p w14:paraId="48512CF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+FP + Fluoroscopy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center"/>
          </w:tcPr>
          <w:p w14:paraId="6D37641C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</w:tr>
      <w:tr w:rsidR="00EE0166" w:rsidRPr="00F7755D" w14:paraId="23C3F398" w14:textId="77777777" w:rsidTr="00C63A0F">
        <w:trPr>
          <w:trHeight w:val="134"/>
        </w:trPr>
        <w:tc>
          <w:tcPr>
            <w:tcW w:w="985" w:type="dxa"/>
            <w:vMerge/>
            <w:shd w:val="clear" w:color="auto" w:fill="E7E6E6" w:themeFill="background2"/>
            <w:vAlign w:val="center"/>
          </w:tcPr>
          <w:p w14:paraId="3D06FA6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92" w:type="dxa"/>
            <w:gridSpan w:val="2"/>
            <w:tcBorders>
              <w:top w:val="nil"/>
              <w:bottom w:val="nil"/>
            </w:tcBorders>
            <w:vAlign w:val="center"/>
          </w:tcPr>
          <w:p w14:paraId="4FC1B23D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 xml:space="preserve">+ LM 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center"/>
          </w:tcPr>
          <w:p w14:paraId="54DFAB85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2</w:t>
            </w:r>
          </w:p>
        </w:tc>
      </w:tr>
      <w:tr w:rsidR="00EE0166" w:rsidRPr="00F7755D" w14:paraId="2A90C59C" w14:textId="77777777" w:rsidTr="00C63A0F">
        <w:trPr>
          <w:trHeight w:val="109"/>
        </w:trPr>
        <w:tc>
          <w:tcPr>
            <w:tcW w:w="985" w:type="dxa"/>
            <w:vMerge/>
            <w:shd w:val="clear" w:color="auto" w:fill="E7E6E6" w:themeFill="background2"/>
            <w:vAlign w:val="center"/>
          </w:tcPr>
          <w:p w14:paraId="2F64E5BD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92" w:type="dxa"/>
            <w:gridSpan w:val="2"/>
            <w:tcBorders>
              <w:top w:val="nil"/>
            </w:tcBorders>
            <w:vAlign w:val="center"/>
          </w:tcPr>
          <w:p w14:paraId="4CCE3D21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+CF + LM</w:t>
            </w:r>
          </w:p>
        </w:tc>
        <w:tc>
          <w:tcPr>
            <w:tcW w:w="900" w:type="dxa"/>
            <w:gridSpan w:val="2"/>
            <w:tcBorders>
              <w:top w:val="nil"/>
            </w:tcBorders>
            <w:vAlign w:val="center"/>
          </w:tcPr>
          <w:p w14:paraId="1F0C010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</w:tr>
      <w:tr w:rsidR="00EE0166" w:rsidRPr="00F7755D" w14:paraId="6B448A1F" w14:textId="77777777" w:rsidTr="00C63A0F">
        <w:tc>
          <w:tcPr>
            <w:tcW w:w="993" w:type="dxa"/>
            <w:gridSpan w:val="2"/>
            <w:vMerge w:val="restart"/>
            <w:shd w:val="clear" w:color="auto" w:fill="E7E6E6" w:themeFill="background2"/>
            <w:vAlign w:val="center"/>
          </w:tcPr>
          <w:p w14:paraId="0EF9B782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Free hand</w:t>
            </w:r>
          </w:p>
        </w:tc>
        <w:tc>
          <w:tcPr>
            <w:tcW w:w="2584" w:type="dxa"/>
            <w:vAlign w:val="center"/>
          </w:tcPr>
          <w:p w14:paraId="1D01B4C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LM</w:t>
            </w:r>
          </w:p>
        </w:tc>
        <w:tc>
          <w:tcPr>
            <w:tcW w:w="270" w:type="dxa"/>
            <w:vAlign w:val="center"/>
          </w:tcPr>
          <w:p w14:paraId="65819CEC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630" w:type="dxa"/>
            <w:vMerge w:val="restart"/>
            <w:vAlign w:val="center"/>
          </w:tcPr>
          <w:p w14:paraId="386DE705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16"/>
                <w:szCs w:val="16"/>
              </w:rPr>
              <w:t>9</w:t>
            </w:r>
          </w:p>
        </w:tc>
      </w:tr>
      <w:tr w:rsidR="00EE0166" w:rsidRPr="00F7755D" w14:paraId="77DB88E8" w14:textId="77777777" w:rsidTr="00C63A0F">
        <w:tc>
          <w:tcPr>
            <w:tcW w:w="993" w:type="dxa"/>
            <w:gridSpan w:val="2"/>
            <w:vMerge/>
            <w:shd w:val="clear" w:color="auto" w:fill="E7E6E6" w:themeFill="background2"/>
            <w:vAlign w:val="center"/>
          </w:tcPr>
          <w:p w14:paraId="3F73C943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84" w:type="dxa"/>
            <w:vAlign w:val="center"/>
          </w:tcPr>
          <w:p w14:paraId="57FCEEDF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CF</w:t>
            </w:r>
          </w:p>
        </w:tc>
        <w:tc>
          <w:tcPr>
            <w:tcW w:w="270" w:type="dxa"/>
            <w:vAlign w:val="center"/>
          </w:tcPr>
          <w:p w14:paraId="1D64D18E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630" w:type="dxa"/>
            <w:vMerge/>
            <w:vAlign w:val="center"/>
          </w:tcPr>
          <w:p w14:paraId="3FC807AF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0AB6C332" w14:textId="77777777" w:rsidTr="00C63A0F">
        <w:tc>
          <w:tcPr>
            <w:tcW w:w="993" w:type="dxa"/>
            <w:gridSpan w:val="2"/>
            <w:vMerge/>
            <w:shd w:val="clear" w:color="auto" w:fill="E7E6E6" w:themeFill="background2"/>
            <w:vAlign w:val="center"/>
          </w:tcPr>
          <w:p w14:paraId="3C201F4C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84" w:type="dxa"/>
            <w:vAlign w:val="center"/>
          </w:tcPr>
          <w:p w14:paraId="375D798E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FP</w:t>
            </w:r>
          </w:p>
        </w:tc>
        <w:tc>
          <w:tcPr>
            <w:tcW w:w="270" w:type="dxa"/>
            <w:vAlign w:val="center"/>
          </w:tcPr>
          <w:p w14:paraId="180D195A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630" w:type="dxa"/>
            <w:vMerge/>
            <w:vAlign w:val="center"/>
          </w:tcPr>
          <w:p w14:paraId="4992403A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77D1FF58" w14:textId="77777777" w:rsidTr="00C63A0F">
        <w:tc>
          <w:tcPr>
            <w:tcW w:w="993" w:type="dxa"/>
            <w:gridSpan w:val="2"/>
            <w:vMerge/>
            <w:shd w:val="clear" w:color="auto" w:fill="E7E6E6" w:themeFill="background2"/>
            <w:vAlign w:val="center"/>
          </w:tcPr>
          <w:p w14:paraId="206B0BA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84" w:type="dxa"/>
            <w:vAlign w:val="center"/>
          </w:tcPr>
          <w:p w14:paraId="45AA481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LM+CF</w:t>
            </w:r>
          </w:p>
        </w:tc>
        <w:tc>
          <w:tcPr>
            <w:tcW w:w="270" w:type="dxa"/>
            <w:vAlign w:val="center"/>
          </w:tcPr>
          <w:p w14:paraId="309BF54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3</w:t>
            </w:r>
          </w:p>
        </w:tc>
        <w:tc>
          <w:tcPr>
            <w:tcW w:w="630" w:type="dxa"/>
            <w:vMerge/>
            <w:vAlign w:val="center"/>
          </w:tcPr>
          <w:p w14:paraId="6A1D0EE9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0E7F802E" w14:textId="77777777" w:rsidTr="00C63A0F">
        <w:tc>
          <w:tcPr>
            <w:tcW w:w="993" w:type="dxa"/>
            <w:gridSpan w:val="2"/>
            <w:vMerge/>
            <w:shd w:val="clear" w:color="auto" w:fill="E7E6E6" w:themeFill="background2"/>
            <w:vAlign w:val="center"/>
          </w:tcPr>
          <w:p w14:paraId="4E3DD917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584" w:type="dxa"/>
            <w:tcBorders>
              <w:bottom w:val="single" w:sz="4" w:space="0" w:color="auto"/>
            </w:tcBorders>
            <w:vAlign w:val="center"/>
          </w:tcPr>
          <w:p w14:paraId="35BE2697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LM+FP</w:t>
            </w:r>
          </w:p>
        </w:tc>
        <w:tc>
          <w:tcPr>
            <w:tcW w:w="270" w:type="dxa"/>
            <w:tcBorders>
              <w:bottom w:val="single" w:sz="4" w:space="0" w:color="auto"/>
            </w:tcBorders>
            <w:vAlign w:val="center"/>
          </w:tcPr>
          <w:p w14:paraId="5ADB4386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630" w:type="dxa"/>
            <w:vMerge/>
            <w:tcBorders>
              <w:bottom w:val="single" w:sz="4" w:space="0" w:color="auto"/>
            </w:tcBorders>
            <w:vAlign w:val="center"/>
          </w:tcPr>
          <w:p w14:paraId="28BA4F43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</w:tbl>
    <w:p w14:paraId="4C651916" w14:textId="77777777" w:rsidR="00EE0166" w:rsidRPr="00A95777" w:rsidRDefault="00EE0166" w:rsidP="00EE0166">
      <w:pPr>
        <w:spacing w:line="360" w:lineRule="auto"/>
        <w:jc w:val="center"/>
        <w:rPr>
          <w:color w:val="000000" w:themeColor="text1"/>
          <w:sz w:val="16"/>
          <w:szCs w:val="16"/>
        </w:rPr>
      </w:pPr>
    </w:p>
    <w:p w14:paraId="5D80398E" w14:textId="7A5510DD" w:rsidR="00EE0166" w:rsidRPr="00A95777" w:rsidRDefault="005B08EC" w:rsidP="00EE0166">
      <w:pPr>
        <w:spacing w:line="360" w:lineRule="auto"/>
        <w:rPr>
          <w:b/>
          <w:bCs/>
          <w:color w:val="00B0F0"/>
          <w:sz w:val="16"/>
          <w:szCs w:val="16"/>
        </w:rPr>
      </w:pPr>
      <w:r w:rsidRPr="00406051">
        <w:rPr>
          <w:rFonts w:ascii="AdvPSA05F" w:hAnsi="AdvPSA05F" w:cs="AdvPSA05F"/>
          <w:b/>
          <w:bCs/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29D07F" wp14:editId="1AAF1D06">
                <wp:simplePos x="0" y="0"/>
                <wp:positionH relativeFrom="column">
                  <wp:posOffset>3276600</wp:posOffset>
                </wp:positionH>
                <wp:positionV relativeFrom="paragraph">
                  <wp:posOffset>111760</wp:posOffset>
                </wp:positionV>
                <wp:extent cx="2292350" cy="1479550"/>
                <wp:effectExtent l="0" t="0" r="127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2350" cy="147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EF681" w14:textId="18A3363A" w:rsidR="005B08EC" w:rsidRDefault="005B08EC" w:rsidP="005B08EC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B08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FP: footprint; all at center except one</w:t>
                            </w:r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study</w:t>
                            </w:r>
                            <w:r w:rsidRPr="005B08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deep to AMB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Giron</w:t>
                            </w:r>
                            <w:proofErr w:type="spellEnd"/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et al). </w:t>
                            </w:r>
                          </w:p>
                          <w:p w14:paraId="612CE644" w14:textId="77777777" w:rsidR="005B08EC" w:rsidRDefault="00C63A0F" w:rsidP="005B08EC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LM: Landmarks; included (posterior notch- </w:t>
                            </w:r>
                            <w:r w:rsidR="005B08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posterior articular surface- inferior articular surface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-</w:t>
                            </w:r>
                            <w:r w:rsidR="005B08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posterior wall 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and notch roof- </w:t>
                            </w:r>
                            <w:r w:rsidR="005B08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lateral intercondylar ridge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="005B08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bifurcate ridge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="005B08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over the top point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)</w:t>
                            </w:r>
                            <w:r w:rsidR="005B08EC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.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47B6B1A" w14:textId="7A77CE29" w:rsidR="00C63A0F" w:rsidRPr="005B08EC" w:rsidRDefault="00C63A0F" w:rsidP="005B08EC">
                            <w:pPr>
                              <w:spacing w:line="240" w:lineRule="auto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CF: clock face; with time at (10, 10:30 to 11, and 11 o’clock)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C29D0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8pt;margin-top:8.8pt;width:180.5pt;height:1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">
                <v:textbox>
                  <w:txbxContent>
                    <w:p w14:paraId="2F2EF681" w14:textId="18A3363A" w:rsidR="005B08EC" w:rsidRDefault="005B08EC" w:rsidP="005B08EC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5B08EC">
                        <w:rPr>
                          <w:color w:val="000000" w:themeColor="text1"/>
                          <w:sz w:val="16"/>
                          <w:szCs w:val="16"/>
                        </w:rPr>
                        <w:t>FP: footprint; all at center except one</w:t>
                      </w:r>
                      <w:r w:rsidR="00442032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study</w:t>
                      </w:r>
                      <w:r w:rsidRPr="005B08EC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deep to AMB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="00442032">
                        <w:rPr>
                          <w:color w:val="000000" w:themeColor="text1"/>
                          <w:sz w:val="16"/>
                          <w:szCs w:val="16"/>
                        </w:rPr>
                        <w:t>(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Giron et al). </w:t>
                      </w:r>
                    </w:p>
                    <w:p w14:paraId="612CE644" w14:textId="77777777" w:rsidR="005B08EC" w:rsidRDefault="00C63A0F" w:rsidP="005B08EC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LM: Landmarks; included (posterior notch- </w:t>
                      </w:r>
                      <w:r w:rsidR="005B08EC">
                        <w:rPr>
                          <w:color w:val="000000" w:themeColor="text1"/>
                          <w:sz w:val="16"/>
                          <w:szCs w:val="16"/>
                        </w:rPr>
                        <w:t>posterior articular surface- inferior articular surface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-</w:t>
                      </w:r>
                      <w:r w:rsidR="005B08EC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posterior wall 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and notch roof- </w:t>
                      </w:r>
                      <w:r w:rsidR="005B08EC">
                        <w:rPr>
                          <w:color w:val="000000" w:themeColor="text1"/>
                          <w:sz w:val="16"/>
                          <w:szCs w:val="16"/>
                        </w:rPr>
                        <w:t>lateral intercondylar ridge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and </w:t>
                      </w:r>
                      <w:r w:rsidR="005B08EC">
                        <w:rPr>
                          <w:color w:val="000000" w:themeColor="text1"/>
                          <w:sz w:val="16"/>
                          <w:szCs w:val="16"/>
                        </w:rPr>
                        <w:t>bifurcate ridge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- </w:t>
                      </w:r>
                      <w:r w:rsidR="005B08EC">
                        <w:rPr>
                          <w:color w:val="000000" w:themeColor="text1"/>
                          <w:sz w:val="16"/>
                          <w:szCs w:val="16"/>
                        </w:rPr>
                        <w:t>over the top point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)</w:t>
                      </w:r>
                      <w:r w:rsidR="005B08EC">
                        <w:rPr>
                          <w:color w:val="000000" w:themeColor="text1"/>
                          <w:sz w:val="16"/>
                          <w:szCs w:val="16"/>
                        </w:rPr>
                        <w:t>.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47B6B1A" w14:textId="7A77CE29" w:rsidR="00C63A0F" w:rsidRPr="005B08EC" w:rsidRDefault="00C63A0F" w:rsidP="005B08EC">
                      <w:pPr>
                        <w:spacing w:line="240" w:lineRule="auto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CF: clock face; with time at (10, 10:30 to 11, and 11 o’clock)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2CF140" w14:textId="3045C0BA" w:rsidR="00EE0166" w:rsidRPr="00F7755D" w:rsidRDefault="00EE0166" w:rsidP="00EE0166">
      <w:pPr>
        <w:rPr>
          <w:sz w:val="16"/>
          <w:szCs w:val="16"/>
        </w:rPr>
      </w:pPr>
    </w:p>
    <w:p w14:paraId="262FF6F9" w14:textId="29DC0FC0" w:rsidR="00EE0166" w:rsidRPr="00F7755D" w:rsidRDefault="00EE0166" w:rsidP="00EE0166">
      <w:pPr>
        <w:rPr>
          <w:sz w:val="16"/>
          <w:szCs w:val="16"/>
        </w:rPr>
      </w:pPr>
    </w:p>
    <w:p w14:paraId="19227651" w14:textId="64D5A28D" w:rsidR="00EE0166" w:rsidRPr="00F7755D" w:rsidRDefault="00EE0166" w:rsidP="00EE0166">
      <w:pPr>
        <w:rPr>
          <w:sz w:val="16"/>
          <w:szCs w:val="16"/>
        </w:rPr>
      </w:pPr>
    </w:p>
    <w:p w14:paraId="5A21BC51" w14:textId="0B064DD4" w:rsidR="00EE0166" w:rsidRPr="00F7755D" w:rsidRDefault="00EE0166" w:rsidP="00EE0166">
      <w:pPr>
        <w:rPr>
          <w:sz w:val="16"/>
          <w:szCs w:val="16"/>
        </w:rPr>
      </w:pPr>
    </w:p>
    <w:p w14:paraId="5B4266C9" w14:textId="77777777" w:rsidR="00EE0166" w:rsidRPr="00F7755D" w:rsidRDefault="00EE0166" w:rsidP="00EE0166">
      <w:pPr>
        <w:rPr>
          <w:sz w:val="16"/>
          <w:szCs w:val="16"/>
        </w:rPr>
      </w:pPr>
    </w:p>
    <w:p w14:paraId="604E285C" w14:textId="77777777" w:rsidR="00406051" w:rsidRDefault="00406051" w:rsidP="00EE0166">
      <w:pPr>
        <w:rPr>
          <w:color w:val="000000" w:themeColor="text1"/>
        </w:rPr>
      </w:pPr>
    </w:p>
    <w:p w14:paraId="159B644F" w14:textId="77777777" w:rsidR="00406051" w:rsidRDefault="00406051" w:rsidP="00EE0166">
      <w:pPr>
        <w:rPr>
          <w:color w:val="000000" w:themeColor="text1"/>
        </w:rPr>
      </w:pPr>
    </w:p>
    <w:p w14:paraId="1FC3AC8B" w14:textId="77777777" w:rsidR="005B08EC" w:rsidRDefault="005B08EC" w:rsidP="00442032">
      <w:pPr>
        <w:spacing w:line="360" w:lineRule="auto"/>
        <w:rPr>
          <w:rFonts w:ascii="AdvPSA05F" w:hAnsi="AdvPSA05F" w:cs="AdvPSA05F"/>
          <w:b/>
          <w:bCs/>
        </w:rPr>
      </w:pPr>
    </w:p>
    <w:p w14:paraId="57DF339E" w14:textId="77777777" w:rsidR="00D61514" w:rsidRDefault="00D61514" w:rsidP="00D61514">
      <w:pPr>
        <w:spacing w:line="360" w:lineRule="auto"/>
        <w:rPr>
          <w:rFonts w:ascii="AdvPSA05F" w:hAnsi="AdvPSA05F" w:cs="AdvPSA05F"/>
          <w:b/>
          <w:bCs/>
        </w:rPr>
      </w:pPr>
    </w:p>
    <w:p w14:paraId="23124030" w14:textId="48C742F8" w:rsidR="00EE0166" w:rsidRPr="00D6143E" w:rsidRDefault="002B6BD5" w:rsidP="00D61514">
      <w:pPr>
        <w:spacing w:line="360" w:lineRule="auto"/>
        <w:jc w:val="center"/>
        <w:rPr>
          <w:b/>
          <w:bCs/>
          <w:color w:val="000000" w:themeColor="text1"/>
          <w:sz w:val="20"/>
          <w:szCs w:val="20"/>
        </w:rPr>
      </w:pPr>
      <w:r>
        <w:rPr>
          <w:rFonts w:ascii="AdvPSA05F" w:hAnsi="AdvPSA05F" w:cs="AdvPSA05F"/>
          <w:b/>
          <w:bCs/>
          <w:sz w:val="20"/>
          <w:szCs w:val="20"/>
        </w:rPr>
        <w:t>Additional</w:t>
      </w:r>
      <w:r w:rsidR="00D6143E" w:rsidRPr="00D6143E">
        <w:rPr>
          <w:rFonts w:ascii="AdvPSA05F" w:hAnsi="AdvPSA05F" w:cs="AdvPSA05F"/>
          <w:b/>
          <w:bCs/>
          <w:sz w:val="20"/>
          <w:szCs w:val="20"/>
        </w:rPr>
        <w:t xml:space="preserve"> </w:t>
      </w:r>
      <w:r w:rsidR="005B08EC" w:rsidRPr="00D6143E">
        <w:rPr>
          <w:rFonts w:ascii="AdvPSA05F" w:hAnsi="AdvPSA05F" w:cs="AdvPSA05F"/>
          <w:b/>
          <w:bCs/>
          <w:sz w:val="20"/>
          <w:szCs w:val="20"/>
        </w:rPr>
        <w:t>file 4</w:t>
      </w:r>
      <w:r w:rsidR="00406051" w:rsidRPr="00D6143E">
        <w:rPr>
          <w:rFonts w:ascii="AdvPSA05F" w:hAnsi="AdvPSA05F" w:cs="AdvPSA05F"/>
          <w:b/>
          <w:bCs/>
          <w:sz w:val="20"/>
          <w:szCs w:val="20"/>
        </w:rPr>
        <w:t xml:space="preserve">-b: </w:t>
      </w:r>
      <w:r w:rsidR="00406051" w:rsidRPr="00D6143E">
        <w:rPr>
          <w:b/>
          <w:bCs/>
          <w:color w:val="000000" w:themeColor="text1"/>
          <w:sz w:val="20"/>
          <w:szCs w:val="20"/>
        </w:rPr>
        <w:t xml:space="preserve">Femoral aperture localization strategy utilized in TI technique in included studies. </w:t>
      </w:r>
    </w:p>
    <w:tbl>
      <w:tblPr>
        <w:tblStyle w:val="TableGrid41"/>
        <w:tblpPr w:leftFromText="180" w:rightFromText="180" w:vertAnchor="text" w:tblpY="1"/>
        <w:tblOverlap w:val="never"/>
        <w:tblW w:w="4500" w:type="dxa"/>
        <w:tblLayout w:type="fixed"/>
        <w:tblLook w:val="04A0" w:firstRow="1" w:lastRow="0" w:firstColumn="1" w:lastColumn="0" w:noHBand="0" w:noVBand="1"/>
      </w:tblPr>
      <w:tblGrid>
        <w:gridCol w:w="990"/>
        <w:gridCol w:w="2610"/>
        <w:gridCol w:w="360"/>
        <w:gridCol w:w="540"/>
      </w:tblGrid>
      <w:tr w:rsidR="00EE0166" w:rsidRPr="00F7755D" w14:paraId="0522B219" w14:textId="77777777" w:rsidTr="00C63A0F">
        <w:trPr>
          <w:trHeight w:val="565"/>
        </w:trPr>
        <w:tc>
          <w:tcPr>
            <w:tcW w:w="3600" w:type="dxa"/>
            <w:gridSpan w:val="2"/>
            <w:shd w:val="clear" w:color="auto" w:fill="E7E6E6" w:themeFill="background2"/>
          </w:tcPr>
          <w:p w14:paraId="0E3539D2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bookmarkStart w:id="7" w:name="_Hlk57637393"/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 xml:space="preserve">Localization strategy </w:t>
            </w:r>
          </w:p>
        </w:tc>
        <w:tc>
          <w:tcPr>
            <w:tcW w:w="900" w:type="dxa"/>
            <w:gridSpan w:val="2"/>
            <w:shd w:val="clear" w:color="auto" w:fill="E7E6E6" w:themeFill="background2"/>
          </w:tcPr>
          <w:p w14:paraId="2AF7F299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No of studies</w:t>
            </w:r>
          </w:p>
        </w:tc>
      </w:tr>
      <w:tr w:rsidR="00EE0166" w:rsidRPr="00F7755D" w14:paraId="06312E32" w14:textId="77777777" w:rsidTr="00C63A0F">
        <w:tc>
          <w:tcPr>
            <w:tcW w:w="990" w:type="dxa"/>
            <w:vMerge w:val="restart"/>
            <w:shd w:val="clear" w:color="auto" w:fill="E7E6E6" w:themeFill="background2"/>
            <w:vAlign w:val="center"/>
          </w:tcPr>
          <w:p w14:paraId="1F172CBF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 xml:space="preserve">  Using FP</w:t>
            </w: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  <w:vertAlign w:val="superscript"/>
              </w:rPr>
              <w:t>*</w:t>
            </w: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br/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571C4FB0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FP only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</w:tcPr>
          <w:p w14:paraId="7429E488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  <w:vertAlign w:val="superscript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18</w:t>
            </w:r>
          </w:p>
        </w:tc>
      </w:tr>
      <w:tr w:rsidR="00EE0166" w:rsidRPr="00F7755D" w14:paraId="0C5F8D9B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27C5E026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  <w:tcBorders>
              <w:bottom w:val="nil"/>
            </w:tcBorders>
          </w:tcPr>
          <w:p w14:paraId="6D34DD2E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FP and another method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14:paraId="20162393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17</w:t>
            </w:r>
          </w:p>
        </w:tc>
      </w:tr>
      <w:tr w:rsidR="00EE0166" w:rsidRPr="00F7755D" w14:paraId="7A2914EA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48C8268F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</w:tcPr>
          <w:p w14:paraId="417C1F1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+FP+ OG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14:paraId="51C1280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4</w:t>
            </w:r>
          </w:p>
        </w:tc>
      </w:tr>
      <w:tr w:rsidR="00EE0166" w:rsidRPr="00F7755D" w14:paraId="4AA45C20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151451B1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</w:tcPr>
          <w:p w14:paraId="478EB05E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+FP+ OG + LM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14:paraId="4810E169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3</w:t>
            </w:r>
          </w:p>
        </w:tc>
      </w:tr>
      <w:tr w:rsidR="00EE0166" w:rsidRPr="00F7755D" w14:paraId="54061573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1E6F0F71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</w:tcPr>
          <w:p w14:paraId="25B03765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+FP+ Fluoroscopy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14:paraId="7449F342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</w:tr>
      <w:tr w:rsidR="00EE0166" w:rsidRPr="00F7755D" w14:paraId="02956873" w14:textId="77777777" w:rsidTr="00C63A0F">
        <w:trPr>
          <w:trHeight w:val="260"/>
        </w:trPr>
        <w:tc>
          <w:tcPr>
            <w:tcW w:w="990" w:type="dxa"/>
            <w:vMerge/>
            <w:shd w:val="clear" w:color="auto" w:fill="E7E6E6" w:themeFill="background2"/>
          </w:tcPr>
          <w:p w14:paraId="0871BAF7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</w:tcPr>
          <w:p w14:paraId="0E1E5593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+FP+ OG +Fluoroscopy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14:paraId="3CC59296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</w:tr>
      <w:tr w:rsidR="00EE0166" w:rsidRPr="00F7755D" w14:paraId="449E9034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38D4C318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nil"/>
              <w:bottom w:val="nil"/>
            </w:tcBorders>
          </w:tcPr>
          <w:p w14:paraId="554D35DA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+FP + LM</w:t>
            </w: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</w:tcPr>
          <w:p w14:paraId="0E17DDA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7</w:t>
            </w:r>
          </w:p>
        </w:tc>
      </w:tr>
      <w:tr w:rsidR="00EE0166" w:rsidRPr="00F7755D" w14:paraId="57BF3ADD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120EFA81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nil"/>
            </w:tcBorders>
          </w:tcPr>
          <w:p w14:paraId="63ACD1A5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+FP+LM+CF</w:t>
            </w:r>
          </w:p>
        </w:tc>
        <w:tc>
          <w:tcPr>
            <w:tcW w:w="900" w:type="dxa"/>
            <w:gridSpan w:val="2"/>
            <w:tcBorders>
              <w:top w:val="nil"/>
            </w:tcBorders>
          </w:tcPr>
          <w:p w14:paraId="77F39C47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</w:tr>
      <w:tr w:rsidR="00EE0166" w:rsidRPr="00F7755D" w14:paraId="7C856BD4" w14:textId="77777777" w:rsidTr="00C63A0F">
        <w:tc>
          <w:tcPr>
            <w:tcW w:w="990" w:type="dxa"/>
            <w:vMerge w:val="restart"/>
            <w:shd w:val="clear" w:color="auto" w:fill="E7E6E6" w:themeFill="background2"/>
            <w:vAlign w:val="center"/>
          </w:tcPr>
          <w:p w14:paraId="5E421FDA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Not using FP</w:t>
            </w:r>
          </w:p>
        </w:tc>
        <w:tc>
          <w:tcPr>
            <w:tcW w:w="2610" w:type="dxa"/>
          </w:tcPr>
          <w:p w14:paraId="29CCD9C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OG + CF</w:t>
            </w:r>
          </w:p>
        </w:tc>
        <w:tc>
          <w:tcPr>
            <w:tcW w:w="360" w:type="dxa"/>
          </w:tcPr>
          <w:p w14:paraId="32CC144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5</w:t>
            </w:r>
          </w:p>
        </w:tc>
        <w:tc>
          <w:tcPr>
            <w:tcW w:w="540" w:type="dxa"/>
            <w:vMerge w:val="restart"/>
            <w:vAlign w:val="center"/>
          </w:tcPr>
          <w:p w14:paraId="5A334907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16</w:t>
            </w:r>
          </w:p>
        </w:tc>
      </w:tr>
      <w:tr w:rsidR="00EE0166" w:rsidRPr="00F7755D" w14:paraId="30BDE82C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25869F80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</w:tcPr>
          <w:p w14:paraId="38A1B22A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OG+LM</w:t>
            </w:r>
          </w:p>
        </w:tc>
        <w:tc>
          <w:tcPr>
            <w:tcW w:w="360" w:type="dxa"/>
          </w:tcPr>
          <w:p w14:paraId="2E3CC5B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540" w:type="dxa"/>
            <w:vMerge/>
          </w:tcPr>
          <w:p w14:paraId="6C7A73E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51663E48" w14:textId="77777777" w:rsidTr="00C63A0F">
        <w:trPr>
          <w:trHeight w:val="132"/>
        </w:trPr>
        <w:tc>
          <w:tcPr>
            <w:tcW w:w="990" w:type="dxa"/>
            <w:vMerge/>
            <w:shd w:val="clear" w:color="auto" w:fill="E7E6E6" w:themeFill="background2"/>
          </w:tcPr>
          <w:p w14:paraId="0080A5BF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</w:tcPr>
          <w:p w14:paraId="626347F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 xml:space="preserve">OG </w:t>
            </w:r>
          </w:p>
        </w:tc>
        <w:tc>
          <w:tcPr>
            <w:tcW w:w="360" w:type="dxa"/>
          </w:tcPr>
          <w:p w14:paraId="15CD5FD9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540" w:type="dxa"/>
            <w:vMerge/>
          </w:tcPr>
          <w:p w14:paraId="02E2C9D9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2A704F2D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5A702FB1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</w:tcPr>
          <w:p w14:paraId="1CE27A7C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LM+CF</w:t>
            </w:r>
          </w:p>
        </w:tc>
        <w:tc>
          <w:tcPr>
            <w:tcW w:w="360" w:type="dxa"/>
          </w:tcPr>
          <w:p w14:paraId="3781B11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540" w:type="dxa"/>
            <w:vMerge/>
          </w:tcPr>
          <w:p w14:paraId="0573116E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60AF8640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319A3D40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</w:tcPr>
          <w:p w14:paraId="052C9A2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CF only</w:t>
            </w:r>
          </w:p>
        </w:tc>
        <w:tc>
          <w:tcPr>
            <w:tcW w:w="360" w:type="dxa"/>
          </w:tcPr>
          <w:p w14:paraId="1B2315E7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540" w:type="dxa"/>
            <w:vMerge/>
          </w:tcPr>
          <w:p w14:paraId="2C0BEDD3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4476FAB0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48BE33D8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</w:tcPr>
          <w:p w14:paraId="43D7C33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LM only</w:t>
            </w:r>
          </w:p>
        </w:tc>
        <w:tc>
          <w:tcPr>
            <w:tcW w:w="360" w:type="dxa"/>
          </w:tcPr>
          <w:p w14:paraId="476884A5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2</w:t>
            </w:r>
          </w:p>
        </w:tc>
        <w:tc>
          <w:tcPr>
            <w:tcW w:w="540" w:type="dxa"/>
            <w:vMerge/>
          </w:tcPr>
          <w:p w14:paraId="0FB59738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287A6A99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237C0662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</w:tcPr>
          <w:p w14:paraId="680DAC46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OG + CF + LM</w:t>
            </w:r>
          </w:p>
        </w:tc>
        <w:tc>
          <w:tcPr>
            <w:tcW w:w="360" w:type="dxa"/>
          </w:tcPr>
          <w:p w14:paraId="6F96EEFD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540" w:type="dxa"/>
            <w:vMerge/>
          </w:tcPr>
          <w:p w14:paraId="0C5B5FE4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26F03002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7B582EF8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</w:tcPr>
          <w:p w14:paraId="010ED390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OG+ Fluoroscopy</w:t>
            </w:r>
          </w:p>
        </w:tc>
        <w:tc>
          <w:tcPr>
            <w:tcW w:w="360" w:type="dxa"/>
          </w:tcPr>
          <w:p w14:paraId="30D6EB58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540" w:type="dxa"/>
            <w:vMerge/>
          </w:tcPr>
          <w:p w14:paraId="400F5301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  <w:tr w:rsidR="00EE0166" w:rsidRPr="00F7755D" w14:paraId="5E129169" w14:textId="77777777" w:rsidTr="00C63A0F">
        <w:tc>
          <w:tcPr>
            <w:tcW w:w="990" w:type="dxa"/>
            <w:vMerge/>
            <w:shd w:val="clear" w:color="auto" w:fill="E7E6E6" w:themeFill="background2"/>
          </w:tcPr>
          <w:p w14:paraId="676E8867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2610" w:type="dxa"/>
          </w:tcPr>
          <w:p w14:paraId="1673C2CB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Surgical navigation system</w:t>
            </w:r>
          </w:p>
        </w:tc>
        <w:tc>
          <w:tcPr>
            <w:tcW w:w="360" w:type="dxa"/>
          </w:tcPr>
          <w:p w14:paraId="7204A462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  <w:r w:rsidRPr="00F7755D"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  <w:t>1</w:t>
            </w:r>
          </w:p>
        </w:tc>
        <w:tc>
          <w:tcPr>
            <w:tcW w:w="540" w:type="dxa"/>
            <w:vMerge/>
          </w:tcPr>
          <w:p w14:paraId="37233E1C" w14:textId="77777777" w:rsidR="00EE0166" w:rsidRPr="00F7755D" w:rsidRDefault="00EE0166" w:rsidP="00C63A0F">
            <w:pPr>
              <w:spacing w:line="276" w:lineRule="auto"/>
              <w:rPr>
                <w:rFonts w:asciiTheme="majorBidi" w:hAnsiTheme="majorBidi" w:cstheme="majorBidi"/>
                <w:color w:val="0D0D0D" w:themeColor="text1" w:themeTint="F2"/>
                <w:sz w:val="16"/>
                <w:szCs w:val="16"/>
              </w:rPr>
            </w:pPr>
          </w:p>
        </w:tc>
      </w:tr>
    </w:tbl>
    <w:bookmarkEnd w:id="7"/>
    <w:p w14:paraId="09614FCD" w14:textId="3429B308" w:rsidR="00EE0166" w:rsidRDefault="005B08EC" w:rsidP="00EE0166">
      <w:r w:rsidRPr="00406051">
        <w:rPr>
          <w:noProof/>
          <w:color w:val="000000" w:themeColor="text1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B98028" wp14:editId="7A0D8A61">
                <wp:simplePos x="0" y="0"/>
                <wp:positionH relativeFrom="column">
                  <wp:posOffset>3556000</wp:posOffset>
                </wp:positionH>
                <wp:positionV relativeFrom="paragraph">
                  <wp:posOffset>245745</wp:posOffset>
                </wp:positionV>
                <wp:extent cx="2360930" cy="1803400"/>
                <wp:effectExtent l="0" t="0" r="22860" b="2540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0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E225C" w14:textId="4E3E8406" w:rsidR="005B08EC" w:rsidRDefault="00C63A0F" w:rsidP="00406051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FP: footprint;</w:t>
                            </w:r>
                            <w:r w:rsidRPr="00A95777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5777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*</w:t>
                            </w:r>
                            <w:r w:rsidRPr="00A95777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always at the FP center except in four studies (just deep to AM bundle</w:t>
                            </w:r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in </w:t>
                            </w:r>
                            <w:proofErr w:type="spellStart"/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Giron</w:t>
                            </w:r>
                            <w:proofErr w:type="spellEnd"/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et al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, shallow to AM bundle</w:t>
                            </w:r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in </w:t>
                            </w:r>
                            <w:proofErr w:type="spellStart"/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Gavriilidis</w:t>
                            </w:r>
                            <w:proofErr w:type="spellEnd"/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et al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, at AM bundle</w:t>
                            </w:r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in Noh et al and Shin et al studies)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4F01C2CB" w14:textId="2AE09186" w:rsidR="005B08EC" w:rsidRDefault="00C63A0F" w:rsidP="00406051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LM: Landmarks; included (over the top</w:t>
                            </w:r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point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- posterior and inferior articular </w:t>
                            </w:r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surface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s- lateral intercondylar and bifurcate ridges- apex of deep cartilage</w:t>
                            </w:r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in Hart et al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- posterior synovial fold</w:t>
                            </w:r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in </w:t>
                            </w:r>
                            <w:proofErr w:type="spellStart"/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Clockaerts</w:t>
                            </w:r>
                            <w:proofErr w:type="spellEnd"/>
                            <w:r w:rsidR="00442032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et al study</w:t>
                            </w: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). </w:t>
                            </w:r>
                          </w:p>
                          <w:p w14:paraId="674F6BD2" w14:textId="3EC60D87" w:rsidR="00C63A0F" w:rsidRPr="00A95777" w:rsidRDefault="00C63A0F" w:rsidP="00406051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95777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CF: clock face; with time at (10, 10 to10:30, and 11 o'clock)</w:t>
                            </w:r>
                          </w:p>
                          <w:p w14:paraId="6EF0846B" w14:textId="3F66853A" w:rsidR="00C63A0F" w:rsidRDefault="00C63A0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B98028" id="_x0000_s1027" type="#_x0000_t202" style="position:absolute;margin-left:280pt;margin-top:19.35pt;width:185.9pt;height:142pt;z-index:2516613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">
                <v:textbox>
                  <w:txbxContent>
                    <w:p w14:paraId="1FDE225C" w14:textId="4E3E8406" w:rsidR="005B08EC" w:rsidRDefault="00C63A0F" w:rsidP="00406051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FP: footprint;</w:t>
                      </w:r>
                      <w:r w:rsidRPr="00A95777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A95777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  <w:vertAlign w:val="superscript"/>
                        </w:rPr>
                        <w:t>*</w:t>
                      </w:r>
                      <w:r w:rsidRPr="00A95777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always at the FP center except in four studies (just deep to AM bundle</w:t>
                      </w:r>
                      <w:r w:rsidR="00442032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in Giron et al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, shallow to AM bundle</w:t>
                      </w:r>
                      <w:r w:rsidR="00442032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in Gavriilidis et al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, at AM bundle</w:t>
                      </w:r>
                      <w:r w:rsidR="00442032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in Noh et al and Shin et al studies)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. </w:t>
                      </w:r>
                    </w:p>
                    <w:p w14:paraId="4F01C2CB" w14:textId="2AE09186" w:rsidR="005B08EC" w:rsidRDefault="00C63A0F" w:rsidP="00406051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LM: Landmarks; included (over the top</w:t>
                      </w:r>
                      <w:r w:rsidR="00442032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point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- posterior and inferior articular </w:t>
                      </w:r>
                      <w:r w:rsidR="00442032">
                        <w:rPr>
                          <w:color w:val="000000" w:themeColor="text1"/>
                          <w:sz w:val="16"/>
                          <w:szCs w:val="16"/>
                        </w:rPr>
                        <w:t>surface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s- lateral intercondylar and bifurcate ridges- apex of deep cartilage</w:t>
                      </w:r>
                      <w:r w:rsidR="00442032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in Hart et al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- posterior synovial fold</w:t>
                      </w:r>
                      <w:r w:rsidR="00442032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in Clockaerts et al study</w:t>
                      </w: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). </w:t>
                      </w:r>
                    </w:p>
                    <w:p w14:paraId="674F6BD2" w14:textId="3EC60D87" w:rsidR="00C63A0F" w:rsidRPr="00A95777" w:rsidRDefault="00C63A0F" w:rsidP="00406051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95777">
                        <w:rPr>
                          <w:color w:val="000000" w:themeColor="text1"/>
                          <w:sz w:val="16"/>
                          <w:szCs w:val="16"/>
                        </w:rPr>
                        <w:t>CF: clock face; with time at (10, 10 to10:30, and 11 o'clock)</w:t>
                      </w:r>
                    </w:p>
                    <w:p w14:paraId="6EF0846B" w14:textId="3F66853A" w:rsidR="00C63A0F" w:rsidRDefault="00C63A0F"/>
                  </w:txbxContent>
                </v:textbox>
                <w10:wrap type="square"/>
              </v:shape>
            </w:pict>
          </mc:Fallback>
        </mc:AlternateContent>
      </w:r>
    </w:p>
    <w:p w14:paraId="753F191A" w14:textId="77777777" w:rsidR="00EE0166" w:rsidRPr="009C0097" w:rsidRDefault="00EE0166" w:rsidP="00EE0166"/>
    <w:p w14:paraId="10B2EC0A" w14:textId="77777777" w:rsidR="00EE0166" w:rsidRPr="009C0097" w:rsidRDefault="00EE0166" w:rsidP="00EE0166"/>
    <w:p w14:paraId="3B15FD32" w14:textId="77777777" w:rsidR="00EE0166" w:rsidRPr="009C0097" w:rsidRDefault="00EE0166" w:rsidP="00EE0166"/>
    <w:p w14:paraId="559F3E88" w14:textId="77777777" w:rsidR="00EE0166" w:rsidRPr="009C0097" w:rsidRDefault="00EE0166" w:rsidP="00EE0166"/>
    <w:p w14:paraId="592EB94D" w14:textId="77777777" w:rsidR="00EE0166" w:rsidRPr="009C0097" w:rsidRDefault="00EE0166" w:rsidP="00EE0166"/>
    <w:p w14:paraId="7087AD44" w14:textId="77777777" w:rsidR="00EE0166" w:rsidRPr="009C0097" w:rsidRDefault="00EE0166" w:rsidP="00EE0166"/>
    <w:p w14:paraId="200EF1EE" w14:textId="77777777" w:rsidR="00EE0166" w:rsidRPr="009C0097" w:rsidRDefault="00EE0166" w:rsidP="00EE0166"/>
    <w:p w14:paraId="78640469" w14:textId="77777777" w:rsidR="00EE0166" w:rsidRPr="009C0097" w:rsidRDefault="00EE0166" w:rsidP="00EE0166"/>
    <w:p w14:paraId="42475566" w14:textId="0BC8EA53" w:rsidR="00EE0166" w:rsidRPr="00050BA1" w:rsidRDefault="00D61514" w:rsidP="00442032">
      <w:r>
        <w:fldChar w:fldCharType="begin"/>
      </w:r>
      <w:r>
        <w:instrText xml:space="preserve"> ADDIN EN.REFLIST </w:instrText>
      </w:r>
      <w:r>
        <w:fldChar w:fldCharType="end"/>
      </w:r>
      <w:bookmarkEnd w:id="0"/>
    </w:p>
    <w:sectPr w:rsidR="00EE0166" w:rsidRPr="00050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-Bold">
    <w:altName w:val="Cambria"/>
    <w:panose1 w:val="00000000000000000000"/>
    <w:charset w:val="00"/>
    <w:family w:val="roman"/>
    <w:notTrueType/>
    <w:pitch w:val="default"/>
  </w:font>
  <w:font w:name="AGaramond-Regular">
    <w:altName w:val="Cambria"/>
    <w:panose1 w:val="00000000000000000000"/>
    <w:charset w:val="00"/>
    <w:family w:val="roman"/>
    <w:notTrueType/>
    <w:pitch w:val="default"/>
  </w:font>
  <w:font w:name="AdvPSA05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Knee Surgery Sports Traumatology Arthroscopy KSSTA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vstp59fgtsrsoe2f0mpavzrav0ra5xr9pzf&quot;&gt;All Rizk screening of new search strategy 73(55+3+7)&lt;record-ids&gt;&lt;item&gt;60&lt;/item&gt;&lt;/record-ids&gt;&lt;/item&gt;&lt;/Libraries&gt;"/>
  </w:docVars>
  <w:rsids>
    <w:rsidRoot w:val="00080BA9"/>
    <w:rsid w:val="00050BA1"/>
    <w:rsid w:val="00080BA9"/>
    <w:rsid w:val="00264D45"/>
    <w:rsid w:val="002B6BD5"/>
    <w:rsid w:val="00377475"/>
    <w:rsid w:val="00406051"/>
    <w:rsid w:val="004237C9"/>
    <w:rsid w:val="004315F1"/>
    <w:rsid w:val="00442032"/>
    <w:rsid w:val="00451295"/>
    <w:rsid w:val="00472C01"/>
    <w:rsid w:val="004A5C28"/>
    <w:rsid w:val="00556498"/>
    <w:rsid w:val="00557FCE"/>
    <w:rsid w:val="005B08EC"/>
    <w:rsid w:val="0061530C"/>
    <w:rsid w:val="006A3397"/>
    <w:rsid w:val="006F291A"/>
    <w:rsid w:val="008576B6"/>
    <w:rsid w:val="008F3CE1"/>
    <w:rsid w:val="0091244A"/>
    <w:rsid w:val="00A25E68"/>
    <w:rsid w:val="00BD63B5"/>
    <w:rsid w:val="00C21AFA"/>
    <w:rsid w:val="00C63A0F"/>
    <w:rsid w:val="00C85385"/>
    <w:rsid w:val="00D6143E"/>
    <w:rsid w:val="00D61514"/>
    <w:rsid w:val="00D77A8B"/>
    <w:rsid w:val="00E74C39"/>
    <w:rsid w:val="00EE0166"/>
    <w:rsid w:val="00EE165B"/>
    <w:rsid w:val="00FB5D65"/>
    <w:rsid w:val="00FE3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03B78"/>
  <w15:chartTrackingRefBased/>
  <w15:docId w15:val="{0ED4F88C-E283-4777-9AAE-F3AE7F9E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5D65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D65"/>
    <w:pPr>
      <w:spacing w:after="0" w:line="240" w:lineRule="auto"/>
      <w:ind w:left="720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91244A"/>
    <w:rPr>
      <w:rFonts w:ascii="GillSans-Bold" w:hAnsi="GillSans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91244A"/>
    <w:rPr>
      <w:rFonts w:ascii="AGaramond-Regular" w:hAnsi="AGaramond-Regular" w:hint="default"/>
      <w:b w:val="0"/>
      <w:bCs w:val="0"/>
      <w:i w:val="0"/>
      <w:iCs w:val="0"/>
      <w:color w:val="000000"/>
      <w:sz w:val="18"/>
      <w:szCs w:val="18"/>
    </w:rPr>
  </w:style>
  <w:style w:type="table" w:customStyle="1" w:styleId="TableGrid12">
    <w:name w:val="Table Grid12"/>
    <w:basedOn w:val="TableNormal"/>
    <w:next w:val="TableGrid"/>
    <w:uiPriority w:val="39"/>
    <w:rsid w:val="00EE0166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39"/>
    <w:rsid w:val="00EE0166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44203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4203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42032"/>
    <w:pPr>
      <w:spacing w:line="240" w:lineRule="auto"/>
      <w:jc w:val="center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42032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D6143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6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Alrahma</dc:creator>
  <cp:keywords/>
  <dc:description/>
  <cp:lastModifiedBy>Abirami R.</cp:lastModifiedBy>
  <cp:revision>15</cp:revision>
  <dcterms:created xsi:type="dcterms:W3CDTF">2020-12-06T19:06:00Z</dcterms:created>
  <dcterms:modified xsi:type="dcterms:W3CDTF">2022-03-02T19:04:00Z</dcterms:modified>
</cp:coreProperties>
</file>