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6D524" w14:textId="0F791247" w:rsidR="000A1705" w:rsidRPr="009B2861" w:rsidRDefault="008A07CB" w:rsidP="0006356C">
      <w:pPr>
        <w:rPr>
          <w:rFonts w:ascii="Times New Roman" w:hAnsi="Times New Roman" w:cs="Times New Roman"/>
          <w:b/>
          <w:szCs w:val="20"/>
        </w:rPr>
      </w:pPr>
      <w:r w:rsidRPr="009B2861">
        <w:rPr>
          <w:rFonts w:ascii="Times New Roman" w:hAnsi="Times New Roman" w:cs="Times New Roman" w:hint="eastAsia"/>
          <w:b/>
          <w:szCs w:val="20"/>
        </w:rPr>
        <w:t>Table</w:t>
      </w:r>
      <w:r w:rsidRPr="009B2861">
        <w:rPr>
          <w:rFonts w:ascii="Times New Roman" w:hAnsi="Times New Roman" w:cs="Times New Roman"/>
          <w:b/>
          <w:szCs w:val="20"/>
        </w:rPr>
        <w:t xml:space="preserve"> </w:t>
      </w:r>
      <w:r w:rsidR="00775DA6">
        <w:rPr>
          <w:rFonts w:ascii="Times New Roman" w:hAnsi="Times New Roman" w:cs="Times New Roman"/>
          <w:b/>
          <w:szCs w:val="20"/>
        </w:rPr>
        <w:t>S</w:t>
      </w:r>
      <w:r w:rsidRPr="009B2861">
        <w:rPr>
          <w:rFonts w:ascii="Times New Roman" w:hAnsi="Times New Roman" w:cs="Times New Roman" w:hint="eastAsia"/>
          <w:b/>
          <w:szCs w:val="20"/>
        </w:rPr>
        <w:t>1</w:t>
      </w:r>
      <w:bookmarkStart w:id="0" w:name="_GoBack"/>
      <w:bookmarkEnd w:id="0"/>
      <w:r w:rsidR="0057444E" w:rsidRPr="009B2861">
        <w:rPr>
          <w:rFonts w:ascii="Times New Roman" w:hAnsi="Times New Roman" w:cs="Times New Roman"/>
          <w:b/>
          <w:szCs w:val="20"/>
        </w:rPr>
        <w:t xml:space="preserve">. </w:t>
      </w:r>
      <w:r w:rsidR="003E3762" w:rsidRPr="009B2861">
        <w:rPr>
          <w:rFonts w:ascii="Times New Roman" w:hAnsi="Times New Roman" w:cs="Times New Roman"/>
          <w:szCs w:val="20"/>
        </w:rPr>
        <w:t>Excluded publications with reasons</w:t>
      </w:r>
    </w:p>
    <w:tbl>
      <w:tblPr>
        <w:tblStyle w:val="TableGrid"/>
        <w:tblW w:w="13892" w:type="dxa"/>
        <w:tblBorders>
          <w:top w:val="single" w:sz="18" w:space="0" w:color="auto"/>
          <w:left w:val="none" w:sz="0" w:space="0" w:color="auto"/>
          <w:bottom w:val="single" w:sz="18" w:space="0" w:color="auto"/>
          <w:right w:val="none" w:sz="0" w:space="0" w:color="auto"/>
          <w:insideV w:val="none" w:sz="0" w:space="0" w:color="auto"/>
        </w:tblBorders>
        <w:tblLayout w:type="fixed"/>
        <w:tblLook w:val="04A0" w:firstRow="1" w:lastRow="0" w:firstColumn="1" w:lastColumn="0" w:noHBand="0" w:noVBand="1"/>
      </w:tblPr>
      <w:tblGrid>
        <w:gridCol w:w="1840"/>
        <w:gridCol w:w="570"/>
        <w:gridCol w:w="11482"/>
      </w:tblGrid>
      <w:tr w:rsidR="003E3762" w:rsidRPr="00ED17E9" w14:paraId="775AEC49" w14:textId="1C961A02" w:rsidTr="00D8418E">
        <w:trPr>
          <w:trHeight w:val="459"/>
        </w:trPr>
        <w:tc>
          <w:tcPr>
            <w:tcW w:w="1840" w:type="dxa"/>
            <w:tcBorders>
              <w:top w:val="single" w:sz="18" w:space="0" w:color="auto"/>
            </w:tcBorders>
          </w:tcPr>
          <w:p w14:paraId="5B3BA0F7" w14:textId="2DA677B7" w:rsidR="003E3762" w:rsidRPr="006930FF" w:rsidRDefault="003E3762" w:rsidP="006930FF">
            <w:pPr>
              <w:rPr>
                <w:rFonts w:ascii="Times New Roman" w:hAnsi="Times New Roman" w:cs="Times New Roman"/>
                <w:b/>
                <w:sz w:val="18"/>
                <w:szCs w:val="18"/>
              </w:rPr>
            </w:pPr>
            <w:r>
              <w:rPr>
                <w:rFonts w:ascii="Times New Roman" w:hAnsi="Times New Roman" w:cs="Times New Roman" w:hint="eastAsia"/>
                <w:b/>
                <w:sz w:val="18"/>
                <w:szCs w:val="18"/>
              </w:rPr>
              <w:t>References</w:t>
            </w:r>
          </w:p>
        </w:tc>
        <w:tc>
          <w:tcPr>
            <w:tcW w:w="12052" w:type="dxa"/>
            <w:gridSpan w:val="2"/>
            <w:tcBorders>
              <w:top w:val="single" w:sz="18" w:space="0" w:color="auto"/>
            </w:tcBorders>
          </w:tcPr>
          <w:p w14:paraId="45708FB9" w14:textId="10BDA010" w:rsidR="003E3762" w:rsidRDefault="003E3762" w:rsidP="001B02C7">
            <w:pPr>
              <w:jc w:val="center"/>
              <w:rPr>
                <w:rFonts w:ascii="Times New Roman" w:hAnsi="Times New Roman" w:cs="Times New Roman"/>
                <w:b/>
                <w:sz w:val="18"/>
                <w:szCs w:val="18"/>
              </w:rPr>
            </w:pPr>
            <w:r>
              <w:rPr>
                <w:rFonts w:ascii="Times New Roman" w:hAnsi="Times New Roman" w:cs="Times New Roman" w:hint="eastAsia"/>
                <w:b/>
                <w:sz w:val="18"/>
                <w:szCs w:val="18"/>
              </w:rPr>
              <w:t xml:space="preserve">Reasons for </w:t>
            </w:r>
            <w:r>
              <w:rPr>
                <w:rFonts w:ascii="Times New Roman" w:hAnsi="Times New Roman" w:cs="Times New Roman"/>
                <w:b/>
                <w:sz w:val="18"/>
                <w:szCs w:val="18"/>
              </w:rPr>
              <w:t>exclusion</w:t>
            </w:r>
          </w:p>
        </w:tc>
      </w:tr>
      <w:tr w:rsidR="004D16F6" w:rsidRPr="00ED17E9" w14:paraId="2DBB2240" w14:textId="2EE78682" w:rsidTr="007D1862">
        <w:trPr>
          <w:trHeight w:val="242"/>
        </w:trPr>
        <w:tc>
          <w:tcPr>
            <w:tcW w:w="2410" w:type="dxa"/>
            <w:gridSpan w:val="2"/>
            <w:tcBorders>
              <w:top w:val="single" w:sz="18" w:space="0" w:color="auto"/>
              <w:bottom w:val="single" w:sz="18" w:space="0" w:color="auto"/>
              <w:right w:val="single" w:sz="18" w:space="0" w:color="auto"/>
            </w:tcBorders>
          </w:tcPr>
          <w:p w14:paraId="7627A5D3" w14:textId="582B58B2" w:rsidR="004D16F6" w:rsidRPr="00206F53" w:rsidRDefault="004D16F6" w:rsidP="004D16F6">
            <w:pPr>
              <w:rPr>
                <w:rFonts w:ascii="Times New Roman" w:hAnsi="Times New Roman" w:cs="Times New Roman"/>
                <w:sz w:val="18"/>
                <w:szCs w:val="18"/>
              </w:rPr>
            </w:pPr>
            <w:r>
              <w:rPr>
                <w:rFonts w:ascii="Times New Roman" w:hAnsi="Times New Roman" w:cs="Times New Roman" w:hint="eastAsia"/>
                <w:sz w:val="18"/>
                <w:szCs w:val="18"/>
              </w:rPr>
              <w:t>Xianyong Yin</w:t>
            </w:r>
            <w:r w:rsidR="00E57C1B">
              <w:rPr>
                <w:rFonts w:ascii="Times New Roman" w:hAnsi="Times New Roman" w:cs="Times New Roman"/>
                <w:sz w:val="18"/>
                <w:szCs w:val="18"/>
              </w:rPr>
              <w:t xml:space="preserve"> et 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{"citationID":"SQkeVf6P","properties":{"formattedCitation":"\\super 1\\nosupersub{}","plainCitation":"1","noteIndex":0},"citationItems":[{"id":266,"uris":["http://zotero.org/users/local/uiY5RWvR/items/XA2EZ83U"],"uri":["http://zotero.org/users/local/uiY5RWvR/items/XA2EZ83U"],"itemData":{"id":266,"type":"article-journal","abstract":"Objective  Systemic lupus erythematosus (SLE), an autoimmune disorder, has been associated with nearly 100 susceptibility loci. Nevertheless, these loci only partially explain SLE heritability and their putative causal variants are rarely prioritised, which make challenging to elucidate disease biology. To detect new SLE loci and causal variants, we performed the largest genome-­wide meta-­analysis for SLE in East Asian populations.","container-title":"Annals of the Rheumatic Diseases","DOI":"10.1136/annrheumdis-2020-219209","ISSN":"0003-4967, 1468-2060","issue":"5","journalAbbreviation":"Ann Rheum Dis","language":"en","page":"632-640","source":"DOI.org (Crossref)","title":"Meta-analysis of 208370 East Asians identifies 113 susceptibility loci for systemic lupus erythematosus","volume":"80","author":[{"family":"Yin","given":"Xianyong"},{"family":"Kim","given":"Kwangwoo"},{"family":"Suetsugu","given":"Hiroyuki"},{"family":"Bang","given":"So-Young"},{"family":"Wen","given":"Leilei"},{"family":"Koido","given":"Masaru"},{"family":"Ha","given":"Eunji"},{"family":"Liu","given":"Lu"},{"family":"Sakamoto","given":"Yuma"},{"family":"Jo","given":"Sungsin"},{"family":"Leng","given":"Rui-Xue"},{"family":"Otomo","given":"Nao"},{"family":"Laurynenka","given":"Viktoryia"},{"family":"Kwon","given":"Young-Chang"},{"family":"Sheng","given":"Yujun"},{"family":"Sugano","given":"Nobuhiko"},{"family":"Hwang","given":"Mi Yeong"},{"family":"Li","given":"Weiran"},{"family":"Mukai","given":"Masaya"},{"family":"Yoon","given":"Kyungheon"},{"family":"Cai","given":"Minglong"},{"family":"Ishigaki","given":"Kazuyoshi"},{"family":"Chung","given":"Won Tae"},{"family":"Huang","given":"He"},{"family":"Takahashi","given":"Daisuke"},{"family":"Lee","given":"Shin-Seok"},{"family":"Wang","given":"Mengwei"},{"family":"Karino","given":"Kohei"},{"family":"Shim","given":"Seung-Cheol"},{"family":"Zheng","given":"Xiaodong"},{"family":"Miyamura","given":"Tomoya"},{"family":"Kang","given":"Young Mo"},{"family":"Ye","given":"Dongqing"},{"family":"Nakamura","given":"Junichi"},{"family":"Suh","given":"Chang-Hee"},{"family":"Tang","given":"Yuanjia"},{"family":"Motomura","given":"Goro"},{"family":"Park","given":"Yong-Beom"},{"family":"Ding","given":"Huihua"},{"family":"Kuroda","given":"Takeshi"},{"family":"Choe","given":"Jung-Yoon"},{"family":"Li","given":"Chengxu"},{"family":"Niiro","given":"Hiroaki"},{"family":"Park","given":"Youngho"},{"family":"Shen","given":"Changbing"},{"family":"Miyamoto","given":"Takeshi"},{"family":"Ahn","given":"Ga-Young"},{"family":"Fei","given":"Wenmin"},{"family":"Takeuchi","given":"Tsutomu"},{"family":"Shin","given":"Jung-Min"},{"family":"Li","given":"Keke"},{"family":"Kawaguchi","given":"Yasushi"},{"family":"Lee","given":"Yeon-Kyung"},{"family":"Wang","given":"Yongfei"},{"family":"Amano","given":"Koichi"},{"family":"Park","given":"Dae Jin"},{"family":"Yang","given":"Wanling"},{"family":"Tada","given":"Yoshifumi"},{"family":"Yamaji","given":"Ken"},{"family":"Shimizu","given":"Masato"},{"family":"Atsumi","given":"Takashi"},{"family":"Suzuki","given":"Akari"},{"family":"Sumida","given":"Takayuki"},{"family":"Okada","given":"Yukinori"},{"family":"Matsuda","given":"Koichi"},{"family":"Matsuo","given":"Keitaro"},{"family":"Kochi","given":"Yuta"},{"literal":"Japanese Research Committee on Idiopathic Osteonecrosis of the Femoral Head"},{"family":"Kottyan","given":"Leah C"},{"family":"Weirauch","given":"Matthew T"},{"family":"Parameswaran","given":"Sreeja"},{"family":"Eswar","given":"Shruti"},{"family":"Salim","given":"Hanan"},{"family":"Chen","given":"Xiaoting"},{"family":"Yamamoto","given":"Kazuhiko"},{"family":"Harley","given":"John B"},{"family":"Ohmura","given":"Koichiro"},{"family":"Kim","given":"Tae-Hwan"},{"family":"Yang","given":"Sen"},{"family":"Yamamoto","given":"Takuaki"},{"family":"Kim","given":"Bong-Jo"},{"family":"Shen","given":"Nan"},{"family":"Ikegawa","given":"Shiro"},{"family":"Lee","given":"Hye-Soon"},{"family":"Zhang","given":"Xuejun"},{"family":"Terao","given":"Chikashi"},{"family":"Cui","given":"Yong"},{"family":"Bae","given":"Sang-Cheol"}],"issued":{"date-parts":[["2021",5]]}}}],"schema":"https://github.com/citation-style-language/schema/raw/master/csl-citation.json"} </w:instrText>
            </w:r>
            <w:r>
              <w:rPr>
                <w:rFonts w:ascii="Times New Roman" w:hAnsi="Times New Roman" w:cs="Times New Roman"/>
                <w:sz w:val="18"/>
                <w:szCs w:val="18"/>
              </w:rPr>
              <w:fldChar w:fldCharType="separate"/>
            </w:r>
            <w:r w:rsidRPr="004D16F6">
              <w:rPr>
                <w:rFonts w:ascii="Times New Roman" w:hAnsi="Times New Roman" w:cs="Times New Roman"/>
                <w:kern w:val="0"/>
                <w:sz w:val="18"/>
                <w:szCs w:val="24"/>
                <w:vertAlign w:val="superscript"/>
              </w:rPr>
              <w:t>1</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031FEE8A" w14:textId="39283EC6" w:rsidR="004D16F6" w:rsidRPr="00CA3853" w:rsidRDefault="007D1862" w:rsidP="00A16425">
            <w:pPr>
              <w:jc w:val="center"/>
              <w:rPr>
                <w:rFonts w:ascii="Times New Roman" w:hAnsi="Times New Roman" w:cs="Times New Roman"/>
                <w:sz w:val="18"/>
                <w:szCs w:val="18"/>
              </w:rPr>
            </w:pPr>
            <w:r>
              <w:rPr>
                <w:rFonts w:ascii="Times New Roman" w:hAnsi="Times New Roman" w:cs="Times New Roman" w:hint="eastAsia"/>
                <w:sz w:val="18"/>
                <w:szCs w:val="18"/>
              </w:rPr>
              <w:t xml:space="preserve">Not FHON associated </w:t>
            </w:r>
            <w:r>
              <w:rPr>
                <w:rFonts w:ascii="Times New Roman" w:hAnsi="Times New Roman" w:cs="Times New Roman"/>
                <w:sz w:val="18"/>
                <w:szCs w:val="18"/>
              </w:rPr>
              <w:t>article.</w:t>
            </w:r>
          </w:p>
        </w:tc>
      </w:tr>
      <w:tr w:rsidR="006173D9" w:rsidRPr="00ED17E9" w14:paraId="79E3F689"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54E69F5D" w14:textId="5BAB85D7" w:rsidR="006173D9" w:rsidRDefault="006173D9" w:rsidP="006173D9">
            <w:pPr>
              <w:rPr>
                <w:rFonts w:ascii="Times New Roman" w:hAnsi="Times New Roman" w:cs="Times New Roman"/>
                <w:sz w:val="18"/>
                <w:szCs w:val="18"/>
              </w:rPr>
            </w:pPr>
            <w:r>
              <w:rPr>
                <w:rFonts w:ascii="Times New Roman" w:hAnsi="Times New Roman" w:cs="Times New Roman" w:hint="eastAsia"/>
                <w:sz w:val="18"/>
                <w:szCs w:val="18"/>
              </w:rPr>
              <w:t>B.V.K.S. Lakkakula</w:t>
            </w:r>
            <w:r w:rsidR="00E57C1B">
              <w:rPr>
                <w:rFonts w:ascii="Times New Roman" w:hAnsi="Times New Roman" w:cs="Times New Roman"/>
                <w:sz w:val="18"/>
                <w:szCs w:val="18"/>
              </w:rPr>
              <w:t xml:space="preserve"> et 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{"citationID":"r6kaJQJm","properties":{"formattedCitation":"\\super 2\\nosupersub{}","plainCitation":"2","noteIndex":0},"citationItems":[{"id":267,"uris":["http://zotero.org/users/local/uiY5RWvR/items/LMFKSVPB"],"uri":["http://zotero.org/users/local/uiY5RWvR/items/LMFKSVPB"],"itemData":{"id":267,"type":"article-journal","container-title":"Transfusion Clinique et Biologique","DOI":"10.1016/j.tracli.2019.01.003","ISSN":"12467820","issue":"4","journalAbbreviation":"Transfusion Clinique et Biologique","language":"en","page":"284-288","source":"DOI.org (Crossref)","title":"Association between MTHFR 677C&gt;T polymorphism and vascular complications in sickle cell disease: A meta-analysis","title-short":"Association between MTHFR 677C&gt;T polymorphism and vascular complications in sickle cell disease","volume":"26","author":[{"family":"Lakkakula","given":"B.V.K.S."}],"issued":{"date-parts":[["2019",11]]}}}],"schema":"https://github.com/citation-style-language/schema/raw/master/csl-citation.json"} </w:instrText>
            </w:r>
            <w:r>
              <w:rPr>
                <w:rFonts w:ascii="Times New Roman" w:hAnsi="Times New Roman" w:cs="Times New Roman"/>
                <w:sz w:val="18"/>
                <w:szCs w:val="18"/>
              </w:rPr>
              <w:fldChar w:fldCharType="separate"/>
            </w:r>
            <w:r w:rsidRPr="006173D9">
              <w:rPr>
                <w:rFonts w:ascii="Times New Roman" w:hAnsi="Times New Roman" w:cs="Times New Roman"/>
                <w:kern w:val="0"/>
                <w:sz w:val="18"/>
                <w:szCs w:val="24"/>
                <w:vertAlign w:val="superscript"/>
              </w:rPr>
              <w:t>2</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2E7C8415" w14:textId="1B53E575" w:rsidR="006173D9" w:rsidRPr="00CA3853" w:rsidRDefault="007D1862" w:rsidP="00A16425">
            <w:pPr>
              <w:jc w:val="center"/>
              <w:rPr>
                <w:rFonts w:ascii="Times New Roman" w:hAnsi="Times New Roman" w:cs="Times New Roman"/>
                <w:sz w:val="18"/>
                <w:szCs w:val="18"/>
              </w:rPr>
            </w:pPr>
            <w:r>
              <w:rPr>
                <w:rFonts w:ascii="Times New Roman" w:hAnsi="Times New Roman" w:cs="Times New Roman" w:hint="eastAsia"/>
                <w:sz w:val="18"/>
                <w:szCs w:val="18"/>
              </w:rPr>
              <w:t xml:space="preserve">Not FHON associated </w:t>
            </w:r>
            <w:r>
              <w:rPr>
                <w:rFonts w:ascii="Times New Roman" w:hAnsi="Times New Roman" w:cs="Times New Roman"/>
                <w:sz w:val="18"/>
                <w:szCs w:val="18"/>
              </w:rPr>
              <w:t>article.</w:t>
            </w:r>
          </w:p>
        </w:tc>
      </w:tr>
      <w:tr w:rsidR="006173D9" w:rsidRPr="00ED17E9" w14:paraId="2B734235"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20FA7521" w14:textId="5504ABBE" w:rsidR="006173D9" w:rsidRDefault="00E57C1B" w:rsidP="00E57C1B">
            <w:pPr>
              <w:rPr>
                <w:rFonts w:ascii="Times New Roman" w:hAnsi="Times New Roman" w:cs="Times New Roman"/>
                <w:sz w:val="18"/>
                <w:szCs w:val="18"/>
              </w:rPr>
            </w:pPr>
            <w:r w:rsidRPr="00E57C1B">
              <w:rPr>
                <w:rFonts w:ascii="Times New Roman" w:hAnsi="Times New Roman" w:cs="Times New Roman"/>
                <w:sz w:val="18"/>
                <w:szCs w:val="18"/>
              </w:rPr>
              <w:t>Yangquan Hao</w:t>
            </w:r>
            <w:r>
              <w:rPr>
                <w:rFonts w:ascii="Times New Roman" w:hAnsi="Times New Roman" w:cs="Times New Roman"/>
                <w:sz w:val="18"/>
                <w:szCs w:val="18"/>
              </w:rPr>
              <w:t xml:space="preserve"> et 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{"citationID":"ZMsOrBbG","properties":{"formattedCitation":"\\super 3\\nosupersub{}","plainCitation":"3","noteIndex":0},"citationItems":[{"id":248,"uris":["http://zotero.org/users/local/uiY5RWvR/items/22S88DQT"],"uri":["http://zotero.org/users/local/uiY5RWvR/items/22S88DQT"],"itemData":{"id":248,"type":"article-journal","abstract":"Background: The objective of this study was to evaluate whether apolipoprotein gene polymorphisms confer susceptibility to osteonecrosis of the femoral head (ONFH).\nMethods: The relevant literature was screened from databases of Pubmed, Embase, Wanfang, Weipu and China National Knowledge Internet (CNKI) until May, 2017. In addition, odds ratio (OR) and its corresponding 95% confidence interval (CI) were used as a measure of effect size for calculating effect size.\nResults: Totally, six case-control studies were included in this meta-analysis. It revealed that ApoB-C7623T polymorphism frequency was increased in ONFH group than in control group under three genetic models, including allele model (T vs. C, OR = 4.5149, 95% CI: 1.6968–12.0134); additive model (TC vs. CC, OR = 6.2515, 95% CI: 2.0939–18.6640); and dominant model (TT + TC vs. CC, OR = 5.4998, 95% CI: 1.9246–15.7163). In addition, the increased risk of ONFH were related to ApoA1-rs1799837 polymorphism under additive model (AA vs. GG, OR = 1. 4175, 95% CI: 1.0522–1.9096) and recessive model (AA vs. GG + AG, OR = 1.7727, 95% CI: 1.3399–2.3452). However, four ApoB rs1042031, rs693, 3’-VNTR and G12619A polymorphisms under the all genetic models were not associated with susceptibility to ONFH.\nConclusion: The T allele and TC genotype of ApoB-C7623T and AA genotype of ApoA1-rs1799837 may contribute to increase the risk of ONFH.","container-title":"Lipids in Health and Disease","DOI":"10.1186/s12944-018-0827-0","ISSN":"1476-511X","issue":"1","journalAbbreviation":"Lipids Health Dis","language":"en","page":"192","source":"DOI.org (Crossref)","title":"The relationship between apolipoprotein genes polymorphisms and susceptibility to osteonecrosis of the femoral head: a meta-analysis","title-short":"The relationship between apolipoprotein genes polymorphisms and susceptibility to osteonecrosis of the femoral head","volume":"17","author":[{"family":"Hao","given":"Yangquan"},{"family":"Guo","given":"Hao"},{"family":"Xu","given":"Zhaochen"},{"family":"Qi","given":"Handeng"},{"family":"Wang","given":"Yugui"},{"family":"Lu","given":"Chao"},{"family":"Liu","given":"Jie"},{"family":"Yuan","given":"Puwei"}],"issued":{"date-parts":[["2018",12]]}}}],"schema":"https://github.com/citation-style-language/schema/raw/master/csl-citation.json"} </w:instrText>
            </w:r>
            <w:r>
              <w:rPr>
                <w:rFonts w:ascii="Times New Roman" w:hAnsi="Times New Roman" w:cs="Times New Roman"/>
                <w:sz w:val="18"/>
                <w:szCs w:val="18"/>
              </w:rPr>
              <w:fldChar w:fldCharType="separate"/>
            </w:r>
            <w:r w:rsidRPr="00E57C1B">
              <w:rPr>
                <w:rFonts w:ascii="Times New Roman" w:hAnsi="Times New Roman" w:cs="Times New Roman"/>
                <w:kern w:val="0"/>
                <w:sz w:val="18"/>
                <w:szCs w:val="24"/>
                <w:vertAlign w:val="superscript"/>
              </w:rPr>
              <w:t>3</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436C43D6" w14:textId="7999EBEF"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hint="eastAsia"/>
                <w:sz w:val="18"/>
                <w:szCs w:val="18"/>
              </w:rPr>
              <w:t xml:space="preserve">o </w:t>
            </w:r>
            <w:r>
              <w:rPr>
                <w:rFonts w:ascii="Times New Roman" w:hAnsi="Times New Roman" w:cs="Times New Roman"/>
                <w:sz w:val="18"/>
                <w:szCs w:val="18"/>
              </w:rPr>
              <w:t>p-value reported.</w:t>
            </w:r>
          </w:p>
        </w:tc>
      </w:tr>
      <w:tr w:rsidR="006173D9" w:rsidRPr="00ED17E9" w14:paraId="0BD1E3C7"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2A7C53CF" w14:textId="3EAA4CC3" w:rsidR="006173D9" w:rsidRDefault="00E57C1B" w:rsidP="00E57C1B">
            <w:pPr>
              <w:rPr>
                <w:rFonts w:ascii="Times New Roman" w:hAnsi="Times New Roman" w:cs="Times New Roman"/>
                <w:sz w:val="18"/>
                <w:szCs w:val="18"/>
              </w:rPr>
            </w:pPr>
            <w:r w:rsidRPr="00E57C1B">
              <w:rPr>
                <w:rFonts w:ascii="Times New Roman" w:hAnsi="Times New Roman" w:cs="Times New Roman"/>
                <w:sz w:val="18"/>
                <w:szCs w:val="18"/>
              </w:rPr>
              <w:t>Fa-Qi Guo</w:t>
            </w:r>
            <w:r>
              <w:rPr>
                <w:rFonts w:ascii="Times New Roman" w:hAnsi="Times New Roman" w:cs="Times New Roman"/>
                <w:sz w:val="18"/>
                <w:szCs w:val="18"/>
              </w:rPr>
              <w:t xml:space="preserve"> et 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{"citationID":"Skvs8LV8","properties":{"formattedCitation":"\\super 4\\nosupersub{}","plainCitation":"4","noteIndex":0},"citationItems":[{"id":250,"uris":["http://zotero.org/users/local/uiY5RWvR/items/5LRZEHPP"],"uri":["http://zotero.org/users/local/uiY5RWvR/items/5LRZEHPP"],"itemData":{"id":250,"type":"article-journal","abstract":"Background: Steroid-induced osteonecrosis of the femoral head (ONFH) in young adults is a challenging disorder that can impairs the quality of life of a patient. The disease also leads to frequent occurrences of collapse of the femoral head and resultant dysfunction of the hip joint. In recent years, some scholars have studied steroid-induced lipid metabolism disorder and achieved the effect of steroid-induced ONFH treatment. This study aims to review the investigations on the hepatic CYP3A (cytochrome P4503A enzyme) genetic polymorphisms in steroid-induced ONFH patients. We then further explore its activity correlation with the development of steroid-induced ONFH in a rabbit model. Methods: A systematic literature search of articles was conducted in PubMed, Web of Science, Google Scholar, Springerlink, and the Chinese National Knowledge Infrastructure database up to February 2017. Twelve relevant articles were retrieved. The odds ratios, standard mean difference, and 95% confidence intervals were calculated to assess the effect of hepatic CYP3A activity on the rabbit model with steroid-induced ONFH. Fixed-effects and random-effects models were used to analyze the heterogeneity. Begg’s funnel plot was used to assess publication bias. Results: High hepatic CYP3A activity significantly decreased the risk for steroid-induced ONFH in the rabbit model (p &lt;. 05). The CYP3A gene may be potentially associated with increased risk of steroid-induced ONFH in the human allele model. Conclusion: The study suggests that high hepatic CYP3A activity decreases the risk of steroid-induced ONFH.","container-title":"Journal of Investigative Surgery","DOI":"10.1080/08941939.2017.1385663","ISSN":"0894-1939, 1521-0553","issue":"2","journalAbbreviation":"Journal of Investigative Surgery","language":"en","page":"118-126","source":"DOI.org (Crossref)","title":"Correlation Between Steroid-Induced Osteonecrosis of The Femoral Head and Hepatic CYP3A Activity: A Systematic Review and Meta-Analysis","title-short":"Correlation Between Steroid-Induced Osteonecrosis of The Femoral Head and Hepatic CYP3A Activity","volume":"32","author":[{"family":"Guo","given":"Fa-Qi"},{"family":"Deng","given":"Min"}],"issued":{"date-parts":[["2019",2,17]]}}}],"schema":"https://github.com/citation-style-language/schema/raw/master/csl-citation.json"} </w:instrText>
            </w:r>
            <w:r>
              <w:rPr>
                <w:rFonts w:ascii="Times New Roman" w:hAnsi="Times New Roman" w:cs="Times New Roman"/>
                <w:sz w:val="18"/>
                <w:szCs w:val="18"/>
              </w:rPr>
              <w:fldChar w:fldCharType="separate"/>
            </w:r>
            <w:r w:rsidRPr="00E57C1B">
              <w:rPr>
                <w:rFonts w:ascii="Times New Roman" w:hAnsi="Times New Roman" w:cs="Times New Roman"/>
                <w:kern w:val="0"/>
                <w:sz w:val="18"/>
                <w:szCs w:val="24"/>
                <w:vertAlign w:val="superscript"/>
              </w:rPr>
              <w:t>4</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7EA7F0E8" w14:textId="20FD35A6"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No statistical calculation reported</w:t>
            </w:r>
            <w:r>
              <w:rPr>
                <w:rFonts w:ascii="Times New Roman" w:hAnsi="Times New Roman" w:cs="Times New Roman"/>
                <w:sz w:val="18"/>
                <w:szCs w:val="18"/>
              </w:rPr>
              <w:t>.</w:t>
            </w:r>
          </w:p>
        </w:tc>
      </w:tr>
      <w:tr w:rsidR="006173D9" w:rsidRPr="00ED17E9" w14:paraId="05E3E350"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056C619F" w14:textId="611D5BFB" w:rsidR="006173D9" w:rsidRDefault="00E57C1B" w:rsidP="00E57C1B">
            <w:pPr>
              <w:rPr>
                <w:rFonts w:ascii="Times New Roman" w:hAnsi="Times New Roman" w:cs="Times New Roman"/>
                <w:sz w:val="18"/>
                <w:szCs w:val="18"/>
              </w:rPr>
            </w:pPr>
            <w:r w:rsidRPr="00E57C1B">
              <w:rPr>
                <w:rFonts w:ascii="Times New Roman" w:hAnsi="Times New Roman" w:cs="Times New Roman"/>
                <w:sz w:val="18"/>
                <w:szCs w:val="18"/>
              </w:rPr>
              <w:t>Jan S. Moreb</w:t>
            </w:r>
            <w:r>
              <w:rPr>
                <w:rFonts w:ascii="Times New Roman" w:hAnsi="Times New Roman" w:cs="Times New Roman"/>
                <w:sz w:val="18"/>
                <w:szCs w:val="18"/>
              </w:rPr>
              <w:t xml:space="preserve"> et 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{"citationID":"DxAccRoK","properties":{"formattedCitation":"\\super 5\\nosupersub{}","plainCitation":"5","noteIndex":0},"citationItems":[{"id":251,"uris":["http://zotero.org/users/local/uiY5RWvR/items/HI3L8BFC"],"uri":["http://zotero.org/users/local/uiY5RWvR/items/HI3L8BFC"],"itemData":{"id":251,"type":"article-journal","container-title":"Journal of Bone and Mineral Research","DOI":"10.1002/jbmr.3285","ISSN":"08840431","issue":"1","journalAbbreviation":"J Bone Miner Res","language":"en","page":"91-98","source":"DOI.org (Crossref)","title":"&lt;i&gt;SIRT1/HERC4&lt;/i&gt; Locus Associated With Bisphosphonate-Induced Osteonecrosis of the Jaw: An Exome-Wide Association Analysis: &lt;i&gt;SIRT1/HERC4&lt;/i&gt; LOCUS ASSOCIATED WITH BP-INDUCED ONJ","title-short":"&lt;i&gt;SIRT1/HERC4&lt;/i&gt; Locus Associated With Bisphosphonate-Induced Osteonecrosis of the Jaw","volume":"33","author":[{"family":"Yang","given":"Guang"},{"family":"Hamadeh","given":"Issam S"},{"family":"Katz","given":"Joseph"},{"family":"Riva","given":"Alberto"},{"family":"Lakatos","given":"Peter"},{"family":"Balla","given":"Bernadett"},{"family":"Kosa","given":"Janos"},{"family":"Vaszilko","given":"Mihaly"},{"family":"Pelliccioni","given":"Gian Andrea"},{"family":"Davis","given":"Noa"},{"family":"Langaee","given":"Taimour Y"},{"family":"Moreb","given":"Jan S"},{"family":"Gong","given":"Yan"}],"issued":{"date-parts":[["2018",1]]}}}],"schema":"https://github.com/citation-style-language/schema/raw/master/csl-citation.json"} </w:instrText>
            </w:r>
            <w:r>
              <w:rPr>
                <w:rFonts w:ascii="Times New Roman" w:hAnsi="Times New Roman" w:cs="Times New Roman"/>
                <w:sz w:val="18"/>
                <w:szCs w:val="18"/>
              </w:rPr>
              <w:fldChar w:fldCharType="separate"/>
            </w:r>
            <w:r w:rsidRPr="00E57C1B">
              <w:rPr>
                <w:rFonts w:ascii="Times New Roman" w:hAnsi="Times New Roman" w:cs="Times New Roman"/>
                <w:kern w:val="0"/>
                <w:sz w:val="18"/>
                <w:szCs w:val="24"/>
                <w:vertAlign w:val="superscript"/>
              </w:rPr>
              <w:t>5</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29E9B57A" w14:textId="2CFFE4AB" w:rsidR="00F646FB" w:rsidRPr="00CA3853" w:rsidRDefault="00F646FB" w:rsidP="00F646FB">
            <w:pPr>
              <w:jc w:val="center"/>
              <w:rPr>
                <w:rFonts w:ascii="Times New Roman" w:hAnsi="Times New Roman" w:cs="Times New Roman"/>
                <w:sz w:val="18"/>
                <w:szCs w:val="18"/>
              </w:rPr>
            </w:pPr>
            <w:r>
              <w:rPr>
                <w:rFonts w:ascii="Times New Roman" w:hAnsi="Times New Roman" w:cs="Times New Roman" w:hint="eastAsia"/>
                <w:sz w:val="18"/>
                <w:szCs w:val="18"/>
              </w:rPr>
              <w:t>Not FHON associated article</w:t>
            </w:r>
            <w:r>
              <w:rPr>
                <w:rFonts w:ascii="Times New Roman" w:hAnsi="Times New Roman" w:cs="Times New Roman"/>
                <w:sz w:val="18"/>
                <w:szCs w:val="18"/>
              </w:rPr>
              <w:t>.</w:t>
            </w:r>
          </w:p>
        </w:tc>
      </w:tr>
      <w:tr w:rsidR="006173D9" w:rsidRPr="00ED17E9" w14:paraId="5851593E"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45C3D86F" w14:textId="1CF8F266"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Zheng Zeng</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{"citationID":"w16VzxPb","properties":{"formattedCitation":"\\super 6\\nosupersub{}","plainCitation":"6","noteIndex":0},"citationItems":[{"id":254,"uris":["http://zotero.org/users/local/uiY5RWvR/items/G2GXTJV5"],"uri":["http://zotero.org/users/local/uiY5RWvR/items/G2GXTJV5"],"itemData":{"id":254,"type":"article-journal","abstract":"Objective: The aim of this study was to investigate the association of plasminogen activator inhibitor-1 (PAI-1) 4G/5G gene polymorphism and osteonecrosis of the femoral head (ONFH). Methods: The pooled relative risk ratio (RR) and 95% confidence intervals (95% CI) were calculated using the the RevMan 5.0 software. Results: The present study included 969 patients with ONFH and 419 healthy controls. The Meta analysis results showed: There is association between PAI-1 gene 4G/5G polymorphism and the increasing risk of ONFH (allele model: RR = 1.24, 95% CI = 1.16 ~ 1.33; dominant genetic model: RR = 1.12, 95% CI = 1.05 ~ 1.18). It was found that the association between PAI-1 gene 4 G/5 G polymorphism and the susceptibility of ONFH (P &lt; 0.05) through the comparison of Caucasian population and Asian people according to the analysis of different races. Conclusions: There is association between PAI-1 gene 4 G/5 G polymorphism and the increasing of the susceptibility of ONFH.","language":"en","page":"6","source":"Zotero","title":"Relation between osteonecrosis of the femoral head and PAI-1 4G/5G gene polymorphism: a meta-analysis","author":[{"family":"Zeng","given":"Zheng"},{"family":"Wang","given":"Bing"},{"family":"Pan","given":"Haitao"}]}}],"schema":"https://github.com/citation-style-language/schema/raw/master/csl-citation.json"}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6</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0552E615" w14:textId="6FF432E9"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Duplicate</w:t>
            </w:r>
            <w:r>
              <w:rPr>
                <w:rFonts w:ascii="Times New Roman" w:hAnsi="Times New Roman" w:cs="Times New Roman"/>
                <w:sz w:val="18"/>
                <w:szCs w:val="18"/>
              </w:rPr>
              <w:t>d</w:t>
            </w:r>
            <w:r>
              <w:rPr>
                <w:rFonts w:ascii="Times New Roman" w:hAnsi="Times New Roman" w:cs="Times New Roman" w:hint="eastAsia"/>
                <w:sz w:val="18"/>
                <w:szCs w:val="18"/>
              </w:rPr>
              <w:t xml:space="preserve"> article</w:t>
            </w:r>
            <w:r>
              <w:rPr>
                <w:rFonts w:ascii="Times New Roman" w:hAnsi="Times New Roman" w:cs="Times New Roman"/>
                <w:sz w:val="18"/>
                <w:szCs w:val="18"/>
              </w:rPr>
              <w:t>.</w:t>
            </w:r>
          </w:p>
        </w:tc>
      </w:tr>
      <w:tr w:rsidR="006173D9" w:rsidRPr="00ED17E9" w14:paraId="09C3AA92"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78419FE7" w14:textId="0C172385"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Seth E. Karol</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{"citationID":"vZSQCf1D","properties":{"formattedCitation":"\\super 7\\nosupersub{}","plainCitation":"7","noteIndex":0},"citationItems":[{"id":256,"uris":["http://zotero.org/users/local/uiY5RWvR/items/LRNZZJTZ"],"uri":["http://zotero.org/users/local/uiY5RWvR/items/LRNZZJTZ"],"itemData":{"id":256,"type":"article-journal","issue":"5","language":"en","page":"8","source":"Zotero","title":"Genetic risk factors for the development of osteonecrosis in children under age 10 treated for acute lymphoblastic leukemia","volume":"127","author":[{"family":"Karol","given":"Seth E"},{"family":"Jr","given":"Leonard A Mattano"},{"family":"Yang","given":"Wenjian"},{"family":"Maloney","given":"Kelly W"},{"family":"Smith","given":"Colton"},{"family":"Liu","given":"ChengCheng"},{"family":"Ramsey","given":"Laura B"},{"family":"Fernandez","given":"Christian A"},{"family":"Chang","given":"Tamara Y"},{"family":"Neale","given":"Geoffrey"},{"family":"Cheng","given":"Cheng"},{"family":"Mardis","given":"Elaine"},{"family":"Fulton","given":"Robert"},{"family":"Scheet","given":"Paul"},{"family":"Lucas","given":"F Anthony San"},{"family":"Larsen","given":"Eric C"},{"family":"Loh","given":"Mignon L"},{"family":"Raetz","given":"Elizabeth A"},{"family":"Hunger","given":"Stephen P"},{"family":"Devidas","given":"Meenakshi"},{"family":"Relling","given":"Mary V"}],"issued":{"date-parts":[["2016"]]}}}],"schema":"https://github.com/citation-style-language/schema/raw/master/csl-citation.json"}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7</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08A05403" w14:textId="27CD06A6" w:rsidR="006173D9" w:rsidRPr="00F646FB"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 xml:space="preserve">Insufficient heterogeneity value. </w:t>
            </w:r>
            <w:r>
              <w:rPr>
                <w:rFonts w:ascii="Times New Roman" w:hAnsi="Times New Roman" w:cs="Times New Roman"/>
                <w:sz w:val="18"/>
                <w:szCs w:val="18"/>
              </w:rPr>
              <w:t>(I</w:t>
            </w:r>
            <w:r>
              <w:rPr>
                <w:rFonts w:ascii="Times New Roman" w:hAnsi="Times New Roman" w:cs="Times New Roman"/>
                <w:sz w:val="18"/>
                <w:szCs w:val="18"/>
                <w:vertAlign w:val="superscript"/>
              </w:rPr>
              <w:t>2</w:t>
            </w:r>
            <w:r>
              <w:rPr>
                <w:rFonts w:ascii="Times New Roman" w:hAnsi="Times New Roman" w:cs="Times New Roman"/>
                <w:sz w:val="18"/>
                <w:szCs w:val="18"/>
              </w:rPr>
              <w:t>)</w:t>
            </w:r>
          </w:p>
        </w:tc>
      </w:tr>
      <w:tr w:rsidR="006173D9" w:rsidRPr="00ED17E9" w14:paraId="4C05B5F5"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10F637AB" w14:textId="63569AE3"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Z.C. Zhou</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{"citationID":"ofplYYhe","properties":{"formattedCitation":"\\super 8\\nosupersub{}","plainCitation":"8","noteIndex":0},"citationItems":[{"id":257,"uris":["http://zotero.org/users/local/uiY5RWvR/items/FCMDURTF"],"uri":["http://zotero.org/users/local/uiY5RWvR/items/FCMDURTF"],"itemData":{"id":257,"type":"article-journal","container-title":"Genetics and Molecular Research","DOI":"10.4238/2015.October.28.31","ISSN":"16765680","issue":"4","journalAbbreviation":"Genet. Mol. Res.","language":"en","page":"13688-13698","source":"DOI.org (Crossref)","title":"VEGF, eNOS, and ABCB1 genetic polymorphisms may increase the risk of osteonecrosis of the femoral head","volume":"14","author":[{"family":"Zhou","given":"Z.C."},{"family":"Gu","given":"S.Z."},{"family":"Wu","given":"J."},{"family":"Liang","given":"Q.W."}],"issued":{"date-parts":[["2015"]]}}}],"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8</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50C260BB" w14:textId="0651F6BB"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Duplicate</w:t>
            </w:r>
            <w:r>
              <w:rPr>
                <w:rFonts w:ascii="Times New Roman" w:hAnsi="Times New Roman" w:cs="Times New Roman"/>
                <w:sz w:val="18"/>
                <w:szCs w:val="18"/>
              </w:rPr>
              <w:t>d</w:t>
            </w:r>
            <w:r>
              <w:rPr>
                <w:rFonts w:ascii="Times New Roman" w:hAnsi="Times New Roman" w:cs="Times New Roman" w:hint="eastAsia"/>
                <w:sz w:val="18"/>
                <w:szCs w:val="18"/>
              </w:rPr>
              <w:t xml:space="preserve"> article</w:t>
            </w:r>
            <w:r>
              <w:rPr>
                <w:rFonts w:ascii="Times New Roman" w:hAnsi="Times New Roman" w:cs="Times New Roman"/>
                <w:sz w:val="18"/>
                <w:szCs w:val="18"/>
              </w:rPr>
              <w:t>.</w:t>
            </w:r>
          </w:p>
        </w:tc>
      </w:tr>
      <w:tr w:rsidR="006173D9" w:rsidRPr="00ED17E9" w14:paraId="73A57339"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6CCB0FCC" w14:textId="5F918B53"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Seth E. Karol</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{"citationID":"D619zgYE","properties":{"formattedCitation":"\\super 9\\nosupersub{}","plainCitation":"9","noteIndex":0},"citationItems":[{"id":258,"uris":["http://zotero.org/users/local/uiY5RWvR/items/YBWZIMNM"],"uri":["http://zotero.org/users/local/uiY5RWvR/items/YBWZIMNM"],"itemData":{"id":258,"type":"article-journal","abstract":"Key Points\n            Comprehensive study of glucocorticoid-induced osteonecrosis identifies glutamate receptor gene variants as risk factors.","container-title":"Blood","DOI":"10.1182/blood-2015-05-643601","ISSN":"0006-4971, 1528-0020","issue":"15","language":"en","page":"1770-1776","source":"DOI.org (Crossref)","title":"Genetics of glucocorticoid-associated osteonecrosis in children with acute lymphoblastic leukemia","volume":"126","author":[{"family":"Karol","given":"Seth E."},{"family":"Yang","given":"Wenjian"},{"family":"Van Driest","given":"Sara L."},{"family":"Chang","given":"Tamara Y."},{"family":"Kaste","given":"Sue"},{"family":"Bowton","given":"Erica"},{"family":"Basford","given":"Melissa"},{"family":"Bastarache","given":"Lisa"},{"family":"Roden","given":"Dan M."},{"family":"Denny","given":"Joshua C."},{"family":"Larsen","given":"Eric"},{"family":"Winick","given":"Naomi"},{"family":"Carroll","given":"William L."},{"family":"Cheng","given":"Cheng"},{"family":"Pei","given":"Deqing"},{"family":"Fernandez","given":"Christian A."},{"family":"Liu","given":"Chengcheng"},{"family":"Smith","given":"Colton"},{"family":"Loh","given":"Mignon L."},{"family":"Raetz","given":"Elizabeth A."},{"family":"Hunger","given":"Stephen P."},{"family":"Scheet","given":"Paul"},{"family":"Jeha","given":"Sima"},{"family":"Pui","given":"Ching-Hon"},{"family":"Evans","given":"William E."},{"family":"Devidas","given":"Meenakshi"},{"family":"Mattano","given":"Leonard A."},{"family":"Relling","given":"Mary V."}],"issued":{"date-parts":[["2015",10,8]]}}}],"schema":"https://github.com/citation-style-language/schema/raw/master/csl-citation.json"}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9</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4529E791" w14:textId="2CA441D4"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 xml:space="preserve">Not FHON associated </w:t>
            </w:r>
            <w:r>
              <w:rPr>
                <w:rFonts w:ascii="Times New Roman" w:hAnsi="Times New Roman" w:cs="Times New Roman"/>
                <w:sz w:val="18"/>
                <w:szCs w:val="18"/>
              </w:rPr>
              <w:t>article.</w:t>
            </w:r>
          </w:p>
        </w:tc>
      </w:tr>
      <w:tr w:rsidR="006173D9" w:rsidRPr="00ED17E9" w14:paraId="4000928B"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269EF278" w14:textId="58450D3C"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Wei Chai</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{"citationID":"7vykFXdF","properties":{"formattedCitation":"\\super 10\\nosupersub{}","plainCitation":"10","noteIndex":0},"citationItems":[{"id":260,"uris":["http://zotero.org/users/local/uiY5RWvR/items/8DW7RUFK"],"uri":["http://zotero.org/users/local/uiY5RWvR/items/8DW7RUFK"],"itemData":{"id":260,"type":"article-journal","abstract":"Background\n              . Methylenetetrahydrofolate reductase (MTHFR) SNP rs1801133 has been frequently investigated in recent years. Relevant candidate gene association studies with this SNP and osteonecrosis of the femoral head (ONFH) reported conflicting results. Meta-analysis provides a method to combine these data and to determine the association in a larger sample size.\n              Method\n              . We conducted a systematic search to identify possible studies. Four pooled ORs (odds ratios, T versus C, TT versus CC, TT/CT versus CC, and TT versus CT/CC), along with 95% confidence interval (CI), were calculated to evaluate the association between SNP rs1801133 and ONFH susceptibility. Both fixed effects model and random effects model were used.\n              Findings\n              . We eventually included twelve studies in this analysis, with results showing no overall association between ONFH susceptibility and SNP rs1801133 (T versus C:\n              \n                OR\n                =\n                1.1\n                5\n              \n              , 95%\n              \n                CI\n                =\n                0.97\n              \n              –1.38; TT versus CC:\n              \n                OR\n                =\n                1.1\n                5\n              \n              , 95%\n              \n                CI\n                =\n                0.91\n              \n              –1.46; TT/CT versus CC:\n              \n                OR\n                =\n                1\n                .\n                09\n              \n              , 95%\n              \n                CI\n                =\n                0.95\n              \n              –1.25; and TT versus CT/CC:\n              \n                OR\n                =\n                1.1\n                6\n              \n              , 95%\n              \n                CI\n                =\n                0.93\n              \n              –1.45). When stratified based on ethnicity, the results were still not significant.\n              Conclusion\n              . Our findings are generally supportive of no association between MTHFR SNP rs1801133 and the etiology of ONFH.","container-title":"BioMed Research International","DOI":"10.1155/2015/196495","ISSN":"2314-6133, 2314-6141","journalAbbreviation":"BioMed Research International","language":"en","page":"1-6","source":"DOI.org (Crossref)","title":"Genetic Association between Methylenetetrahydrofolate Reductase Gene Polymorphism and Risk of Osteonecrosis of the Femoral Head","volume":"2015","author":[{"family":"Chai","given":"Wei"},{"family":"Zhang","given":"Zhendong"},{"family":"Ni","given":"Ming"},{"family":"Geng","given":"Peiliang"},{"family":"Lian","given":"Zijian"},{"family":"Zhang","given":"Guoqiang"},{"family":"Shi","given":"Lewis L."},{"family":"Chen","given":"Jiying"}],"issued":{"date-parts":[["2015"]]}}}],"schema":"https://github.com/citation-style-language/schema/raw/master/csl-citation.json"}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10</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3AC8AF79" w14:textId="0EC012B2"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No significant result</w:t>
            </w:r>
            <w:r>
              <w:rPr>
                <w:rFonts w:ascii="Times New Roman" w:hAnsi="Times New Roman" w:cs="Times New Roman"/>
                <w:sz w:val="18"/>
                <w:szCs w:val="18"/>
              </w:rPr>
              <w:t>s</w:t>
            </w:r>
            <w:r>
              <w:rPr>
                <w:rFonts w:ascii="Times New Roman" w:hAnsi="Times New Roman" w:cs="Times New Roman" w:hint="eastAsia"/>
                <w:sz w:val="18"/>
                <w:szCs w:val="18"/>
              </w:rPr>
              <w:t>.</w:t>
            </w:r>
          </w:p>
        </w:tc>
      </w:tr>
      <w:tr w:rsidR="006173D9" w:rsidRPr="00ED17E9" w14:paraId="652E31A9"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0FBEC36A" w14:textId="2969FAF6"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 xml:space="preserve">Patarawan </w:t>
            </w:r>
            <w:r>
              <w:rPr>
                <w:rFonts w:ascii="Times New Roman" w:hAnsi="Times New Roman" w:cs="Times New Roman"/>
                <w:sz w:val="18"/>
                <w:szCs w:val="18"/>
              </w:rPr>
              <w:t>W</w:t>
            </w:r>
            <w:r w:rsidRPr="00E57C1B">
              <w:rPr>
                <w:rFonts w:ascii="Times New Roman" w:hAnsi="Times New Roman" w:cs="Times New Roman"/>
                <w:sz w:val="18"/>
                <w:szCs w:val="18"/>
              </w:rPr>
              <w:t>oratanarat</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{"citationID":"eHyCXYGY","properties":{"formattedCitation":"\\super 11\\nosupersub{}","plainCitation":"11","noteIndex":0},"citationItems":[{"id":263,"uris":["http://zotero.org/users/local/uiY5RWvR/items/6T2MWKKZ"],"uri":["http://zotero.org/users/local/uiY5RWvR/items/6T2MWKKZ"],"itemData":{"id":263,"type":"article-journal","container-title":"Journal of Orthopaedic Research","DOI":"10.1002/jor.22473","ISSN":"07360266","issue":"1","journalAbbreviation":"J. Orthop. Res.","language":"en","page":"1-7","source":"DOI.org (Crossref)","title":"Meta-analysis of hypercoagulability genetic polymorphisms in perthes disease: META-ANALYSIS OF POLYMORPHISMS IN PERTHES","title-short":"Meta-analysis of hypercoagulability genetic polymorphisms in perthes disease","volume":"32","author":[{"family":"Woratanarat","given":"Patarawan"},{"family":"Thaveeratitharm","given":"Charnwit"},{"family":"Woratanarat","given":"Thira"},{"family":"Angsanuntsukh","given":"Chanika"},{"family":"Attia","given":"John"},{"family":"Thakkinstian","given":"Ammarin"}],"issued":{"date-parts":[["2014",1]]}}}],"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11</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245B7F45" w14:textId="315CA438"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 xml:space="preserve">Not FHON associated </w:t>
            </w:r>
            <w:r>
              <w:rPr>
                <w:rFonts w:ascii="Times New Roman" w:hAnsi="Times New Roman" w:cs="Times New Roman"/>
                <w:sz w:val="18"/>
                <w:szCs w:val="18"/>
              </w:rPr>
              <w:t>article.</w:t>
            </w:r>
          </w:p>
        </w:tc>
      </w:tr>
      <w:tr w:rsidR="006173D9" w:rsidRPr="00ED17E9" w14:paraId="66EABACF"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1BDF8A4C" w14:textId="1E8C475C"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Xiao-Nan Liang</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{"citationID":"yOjes9Is","properties":{"formattedCitation":"\\super 12\\nosupersub{}","plainCitation":"12","noteIndex":0},"citationItems":[{"id":264,"uris":["http://zotero.org/users/local/uiY5RWvR/items/358DUTU6"],"uri":["http://zotero.org/users/local/uiY5RWvR/items/358DUTU6"],"itemData":{"id":264,"type":"article-journal","abstract":"Background: The polymorphism of the plasminogen activator inhibitor-1 (PAI-1) 4G/5G gene has been correlated with susceptibility to osteonecrosis of the femoral head (ONFH), but study results are controversial. The aim of this study was to derive a more precise estimation of the relationship between the PAI-1 4G/ 5G Gene polymorphism and ONFH by performing a meta-analysis.\nMethods: The meta-analysis was based on ﬁve eligible case-control studies involving 419 cases and 969 controls and summarized data indicating the association between PAI-1 polymorphism and risk of osteonecrosis of the femoral head. Odds ratios (OR) with 95% conﬁdence intervals (95% CI) were used to assess the strength of this association in the random-effects model or ﬁxed-effects model.\nResults: A signiﬁcant association between PAI-1 4G/5G polymorphism and ONFH susceptibility was observed for 4G4G + 4G5G vs. 5G5G (OR = 1.766, 95% CI 1.279–2.437, P = 0.001), 4G/4G vs. 4G/5G + 5G/5G (OR = 2.050, 95% CI 1.581–2.657, P = 0.000), 4G/4G vs. 5G/5G (OR = 2.553, 95% CI 1.345–4.846, P = 0.004), and 4G vs. 5G (OR = 1.758, 95% CI 1.236–2.500, P = 0.002). No signiﬁcant association between PAI-1 4G/5G polymorphism and ONFH susceptibility was observed for 4G/5G vs. 5G/5G (OR = 1.327, 95% CI 0.939–1.877, P = 0.109).\nConclusions: This meta-analysis suggested that 4G/5G polymorphism of the PAI-1 gene was a risk factor for ONFH. This study also suggests that the PAI-1 4G4G genotype may indicate a risk for ONFH. Crown Copyright © 2013 Published by Elsevier Ltd. All rights reserved.","container-title":"Thrombosis Research","DOI":"10.1016/j.thromres.2013.06.023","ISSN":"00493848","issue":"2","journalAbbreviation":"Thrombosis Research","language":"en","page":"158-163","source":"DOI.org (Crossref)","title":"Association between PAI-1 4G/5G Polymorphisms and osteonecrosis of femoral head: A Meta-analysis","title-short":"Association between PAI-1 4G/5G Polymorphisms and osteonecrosis of femoral head","volume":"132","author":[{"family":"Liang","given":"Xiao-Nan"},{"family":"Xie","given":"Li"},{"family":"Cheng","given":"Jian-Wen"},{"family":"Tan","given":"Zhen"},{"family":"Yao","given":"Jun"},{"family":"Liu","given":"Qian"},{"family":"Su","given":"Wei"},{"family":"Qin","given":"Xue"},{"family":"Zhao","given":"Jin-Min"}],"issued":{"date-parts":[["2013",8]]}}}],"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12</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69C9345D" w14:textId="3D54E641"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Duplicate</w:t>
            </w:r>
            <w:r>
              <w:rPr>
                <w:rFonts w:ascii="Times New Roman" w:hAnsi="Times New Roman" w:cs="Times New Roman"/>
                <w:sz w:val="18"/>
                <w:szCs w:val="18"/>
              </w:rPr>
              <w:t>d</w:t>
            </w:r>
            <w:r>
              <w:rPr>
                <w:rFonts w:ascii="Times New Roman" w:hAnsi="Times New Roman" w:cs="Times New Roman" w:hint="eastAsia"/>
                <w:sz w:val="18"/>
                <w:szCs w:val="18"/>
              </w:rPr>
              <w:t xml:space="preserve"> article</w:t>
            </w:r>
            <w:r>
              <w:rPr>
                <w:rFonts w:ascii="Times New Roman" w:hAnsi="Times New Roman" w:cs="Times New Roman"/>
                <w:sz w:val="18"/>
                <w:szCs w:val="18"/>
              </w:rPr>
              <w:t>.</w:t>
            </w:r>
          </w:p>
        </w:tc>
      </w:tr>
      <w:tr w:rsidR="006173D9" w:rsidRPr="00ED17E9" w14:paraId="683F9648"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07C35F80" w14:textId="0C716E22" w:rsidR="006173D9" w:rsidRDefault="00E57C1B" w:rsidP="007D1862">
            <w:pPr>
              <w:rPr>
                <w:rFonts w:ascii="Times New Roman" w:hAnsi="Times New Roman" w:cs="Times New Roman"/>
                <w:sz w:val="18"/>
                <w:szCs w:val="18"/>
              </w:rPr>
            </w:pPr>
            <w:r w:rsidRPr="00E57C1B">
              <w:rPr>
                <w:rFonts w:ascii="Times New Roman" w:hAnsi="Times New Roman" w:cs="Times New Roman"/>
                <w:sz w:val="18"/>
                <w:szCs w:val="18"/>
              </w:rPr>
              <w:t>Xi-fu Shang</w:t>
            </w:r>
            <w:r>
              <w:rPr>
                <w:rFonts w:ascii="Times New Roman" w:hAnsi="Times New Roman" w:cs="Times New Roman"/>
                <w:sz w:val="18"/>
                <w:szCs w:val="18"/>
              </w:rPr>
              <w:t xml:space="preserve"> et al.</w:t>
            </w:r>
            <w:r w:rsidR="007D1862">
              <w:rPr>
                <w:rFonts w:ascii="Times New Roman" w:hAnsi="Times New Roman" w:cs="Times New Roman"/>
                <w:sz w:val="18"/>
                <w:szCs w:val="18"/>
              </w:rPr>
              <w:fldChar w:fldCharType="begin"/>
            </w:r>
            <w:r w:rsidR="007D1862">
              <w:rPr>
                <w:rFonts w:ascii="Times New Roman" w:hAnsi="Times New Roman" w:cs="Times New Roman"/>
                <w:sz w:val="18"/>
                <w:szCs w:val="18"/>
              </w:rPr>
              <w:instrText xml:space="preserve"> ADDIN ZOTERO_ITEM CSL_CITATION {"citationID":"Npxap1oS","properties":{"formattedCitation":"\\super 13\\nosupersub{}","plainCitation":"13","noteIndex":0},"citationItems":[{"id":271,"uris":["http://zotero.org/users/local/uiY5RWvR/items/8MQS8Y6J"],"uri":["http://zotero.org/users/local/uiY5RWvR/items/8MQS8Y6J"],"itemData":{"id":271,"type":"article-journal","abstract":"The results of studies on association between the C677T polymorphism of the 5,10-methylene-tetrahydrofolate reductase (MTHFR) gene and osteonecrosis of the femoral head (ONFH) are controversial. To derive a more precise estimation of the relationship between the MTHFR C677T polymorphism and ONFH, a meta-analysis was performed. Eight studies on MTHFR C677T association with ONFH were searched up to April 2011, and the genotype frequencies in control group were consistent with Hardy-Weinberg equilibrium. The effect summary odds ratio (OR) and 95% confidence intervals were obtained. Publication bias was tested by funnel plot, Egger's regression test, and heterogeneity was assessed. Eight studies containing 778 cases and 1,162 controls were included. Heterogeneity was observed (χ(2) = 18.58, P = 0.01). Under the random effects model, the common OR was 1.38 (95% CI: 0.92-2.08; P = 0.12). In the subgroup meta-analysis, there was an association between MTHFR C677T polymorphism and ONFH in non-Asian population for CT + TT vs. CC (OR = 1.72; 95% CI: 1.21-2.43; P = 0.002; I(2) = 37.9%, P = 0.17), but not for Asian population (OR = 0.88; 95% CI: 0.66-1.66; P = 0.35; I(2) = 45.4%, P = 0.16). There was heterogeneity between studies and no clear evidence of an association on a worldwide population. When stratifying for the race, this meta-analysis did not provide an evidence of confirming association between MTHFR C677T polymorphism and ONFH. The large sample and well-designed study based on different ethnic groups should be considered in future associated studies to clarify the association of MTHFR C677T polymorphism with ONFH susceptibility.","container-title":"Molecular Biology Reports","DOI":"10.1007/s11033-012-1540-0","ISSN":"1573-4978","issue":"6","journalAbbreviation":"Mol Biol Rep","language":"eng","note":"PMID: 22311035","page":"7089-7094","source":"PubMed","title":"Association between MTHFR C677T polymorphism and osteonecrosis of the femoral head: a meta-analysis","title-short":"Association between MTHFR C677T polymorphism and osteonecrosis of the femoral head","volume":"39","author":[{"family":"Shang","given":"Xi-fu"},{"family":"Su","given":"Hong"},{"family":"Chang","given":"Wei-wei"},{"family":"Wang","given":"Chen-cheng"},{"family":"Han","given":"Qin"},{"family":"Xu","given":"Zhi-wei"}],"issued":{"date-parts":[["2012",6]]}}}],"schema":"https://github.com/citation-style-language/schema/raw/master/csl-citation.json"} </w:instrText>
            </w:r>
            <w:r w:rsidR="007D1862">
              <w:rPr>
                <w:rFonts w:ascii="Times New Roman" w:hAnsi="Times New Roman" w:cs="Times New Roman"/>
                <w:sz w:val="18"/>
                <w:szCs w:val="18"/>
              </w:rPr>
              <w:fldChar w:fldCharType="separate"/>
            </w:r>
            <w:r w:rsidR="007D1862" w:rsidRPr="007D1862">
              <w:rPr>
                <w:rFonts w:ascii="Times New Roman" w:hAnsi="Times New Roman" w:cs="Times New Roman"/>
                <w:kern w:val="0"/>
                <w:sz w:val="18"/>
                <w:szCs w:val="24"/>
                <w:vertAlign w:val="superscript"/>
              </w:rPr>
              <w:t>13</w:t>
            </w:r>
            <w:r w:rsidR="007D1862">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6D336892" w14:textId="22DC2978" w:rsidR="006173D9" w:rsidRPr="00CA3853" w:rsidRDefault="00F646FB" w:rsidP="00A16425">
            <w:pPr>
              <w:jc w:val="center"/>
              <w:rPr>
                <w:rFonts w:ascii="Times New Roman" w:hAnsi="Times New Roman" w:cs="Times New Roman"/>
                <w:sz w:val="18"/>
                <w:szCs w:val="18"/>
              </w:rPr>
            </w:pPr>
            <w:r>
              <w:rPr>
                <w:rFonts w:ascii="Times New Roman" w:hAnsi="Times New Roman" w:cs="Times New Roman" w:hint="eastAsia"/>
                <w:sz w:val="18"/>
                <w:szCs w:val="18"/>
              </w:rPr>
              <w:t>No significant result</w:t>
            </w:r>
            <w:r>
              <w:rPr>
                <w:rFonts w:ascii="Times New Roman" w:hAnsi="Times New Roman" w:cs="Times New Roman"/>
                <w:sz w:val="18"/>
                <w:szCs w:val="18"/>
              </w:rPr>
              <w:t>s</w:t>
            </w:r>
            <w:r>
              <w:rPr>
                <w:rFonts w:ascii="Times New Roman" w:hAnsi="Times New Roman" w:cs="Times New Roman" w:hint="eastAsia"/>
                <w:sz w:val="18"/>
                <w:szCs w:val="18"/>
              </w:rPr>
              <w:t>.</w:t>
            </w:r>
          </w:p>
        </w:tc>
      </w:tr>
      <w:tr w:rsidR="00744A98" w:rsidRPr="00ED17E9" w14:paraId="5D603EDC"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747B1143" w14:textId="04A6D0A6" w:rsidR="00744A98" w:rsidRPr="00E57C1B" w:rsidRDefault="00744A98" w:rsidP="00744A98">
            <w:pPr>
              <w:rPr>
                <w:rFonts w:ascii="Times New Roman" w:hAnsi="Times New Roman" w:cs="Times New Roman"/>
                <w:sz w:val="18"/>
                <w:szCs w:val="18"/>
              </w:rPr>
            </w:pPr>
            <w:r w:rsidRPr="00744A98">
              <w:rPr>
                <w:rFonts w:ascii="Times New Roman" w:hAnsi="Times New Roman" w:cs="Times New Roman"/>
                <w:sz w:val="18"/>
                <w:szCs w:val="18"/>
              </w:rPr>
              <w:t xml:space="preserve">Mohammad R. Sobhan </w:t>
            </w:r>
            <w:r w:rsidRPr="00744A98">
              <w:rPr>
                <w:rFonts w:ascii="Times New Roman" w:hAnsi="Times New Roman" w:cs="Times New Roman" w:hint="eastAsia"/>
                <w:sz w:val="18"/>
                <w:szCs w:val="18"/>
              </w:rPr>
              <w:t>et</w:t>
            </w:r>
            <w:r w:rsidRPr="00744A98">
              <w:rPr>
                <w:rFonts w:ascii="Times New Roman" w:hAnsi="Times New Roman" w:cs="Times New Roman"/>
                <w:sz w:val="18"/>
                <w:szCs w:val="18"/>
              </w:rPr>
              <w:t xml:space="preserve"> </w:t>
            </w:r>
            <w:r w:rsidRPr="00744A98">
              <w:rPr>
                <w:rFonts w:ascii="Times New Roman" w:hAnsi="Times New Roman" w:cs="Times New Roman" w:hint="eastAsia"/>
                <w:sz w:val="18"/>
                <w:szCs w:val="18"/>
              </w:rPr>
              <w:t>al.</w:t>
            </w:r>
            <w:r>
              <w:rPr>
                <w:rFonts w:ascii="Cambria" w:hAnsi="Cambria" w:cs="Cambria"/>
                <w:color w:val="000000"/>
                <w:kern w:val="0"/>
                <w:szCs w:val="20"/>
              </w:rPr>
              <w:fldChar w:fldCharType="begin"/>
            </w:r>
            <w:r>
              <w:rPr>
                <w:rFonts w:ascii="Cambria" w:hAnsi="Cambria" w:cs="Cambria"/>
                <w:color w:val="000000"/>
                <w:kern w:val="0"/>
                <w:szCs w:val="20"/>
              </w:rPr>
              <w:instrText xml:space="preserve"> ADDIN ZOTERO_ITEM CSL_CITATION {"citationID":"1EocKNFy","properties":{"formattedCitation":"\\super 14\\nosupersub{}","plainCitation":"14","noteIndex":0},"citationItems":[{"id":268,"uris":["http://zotero.org/users/local/uiY5RWvR/items/SL5R3YUZ"],"uri":["http://zotero.org/users/local/uiY5RWvR/items/SL5R3YUZ"],"itemData":{"id":268,"type":"article-journal","abstract":"Background: The Plasminogen Activator Inhibitor-1 gene 4G/5G (PAI-1 4G/5G) polymorphism has been suggested to be associated with osteonecrosis of the femoral head (ONFH) susceptibility; however, the results are conflicting and inconclusive. We have carried out a comprehensive meta-analysis to derive a more precise estimation of the association.\nMethods: A comprehensive search in PubMed, EMBASE, Google Scholar, and ISI Web of Knowledge databases was conducted to identify all eligible case-control publications investigating the association between PAI-1 4G/5G polymorphism and ONFH risk. Odds ratios (OR) and corresponding 95% confidence intervals (CI) were used to assess the association.\nResults: A total of six studies with 456 cases and 1,019 controls were included in this review. Three studies were from Caucasian descendants and the three others were from East Asian descendants. Overall analysis suggests a significant association between PAI-1 4G/5G polymorphism and ONFH risk under the allele model (4G vs. 5G: OR =1.540, 95% CI =1.055-2.248, P=0.025) and the recessive model (4G4G vs. 4G5G+5G5G: OR=1.931, 95% CI: 1.162-3.207, P=0.011). When stratified by ethnicity, we have found a significant association between PAI-1 4G/5G polymorphism and ONFH risk among the Caucasian (4G5G vs. 5G5G: OR=1.806, 95% CI: 1.064-3.067, P=0.029) and East Asians (4G4G vs. 5G5G: OR=1.619, 95% CI: 1.025-2.556, P=0.039 and 4G4G vs. 4G5G+5G5G: OR=1.665, 95% CI: 1.207-2.297, P=0.002).\nConclusion: The present meta-analysis suggested that PAI-1 4G/5G (rs1799889) polymorphism is a potential risk factor for development of ONFH. However, large-scale and well-designed case-control studies in different ethnicities are required to validate these results.","container-title":". NUMBER","issue":"6","language":"en","page":"10","source":"Zotero","title":"Plasminogen Activator Inhibitor-1 4G/5G Polymorphism Contributes to Osteonecrosis of the Femoral Head Susceptibility: Evidence from a Systematic Review and Meta-analysis","volume":"6","author":[{"family":"Sobhan","given":"Mohammad R"},{"family":"Mahdinezhad-Yazdi","given":"Masoud"},{"family":"Moghimi","given":"Mansour"},{"family":"Aghili","given":"Kazem"},{"family":"Jafari","given":"Mohammadali"},{"family":"Zare-Shehneh","given":"Masoud"},{"family":"Neamatzadeh","given":"Hossein"}],"issued":{"date-parts":[["2018"]]}}}],"schema":"https://github.com/citation-style-language/schema/raw/master/csl-citation.json"} </w:instrText>
            </w:r>
            <w:r>
              <w:rPr>
                <w:rFonts w:ascii="Cambria" w:hAnsi="Cambria" w:cs="Cambria"/>
                <w:color w:val="000000"/>
                <w:kern w:val="0"/>
                <w:szCs w:val="20"/>
              </w:rPr>
              <w:fldChar w:fldCharType="separate"/>
            </w:r>
            <w:r w:rsidRPr="00744A98">
              <w:rPr>
                <w:rFonts w:ascii="Cambria" w:hAnsi="Cambria" w:cs="Times New Roman"/>
                <w:kern w:val="0"/>
                <w:szCs w:val="24"/>
                <w:vertAlign w:val="superscript"/>
              </w:rPr>
              <w:t>14</w:t>
            </w:r>
            <w:r>
              <w:rPr>
                <w:rFonts w:ascii="Cambria" w:hAnsi="Cambria" w:cs="Cambria"/>
                <w:color w:val="000000"/>
                <w:kern w:val="0"/>
                <w:szCs w:val="20"/>
              </w:rPr>
              <w:fldChar w:fldCharType="end"/>
            </w:r>
          </w:p>
        </w:tc>
        <w:tc>
          <w:tcPr>
            <w:tcW w:w="11482" w:type="dxa"/>
            <w:tcBorders>
              <w:top w:val="single" w:sz="18" w:space="0" w:color="auto"/>
              <w:left w:val="single" w:sz="18" w:space="0" w:color="auto"/>
              <w:bottom w:val="single" w:sz="18" w:space="0" w:color="auto"/>
            </w:tcBorders>
          </w:tcPr>
          <w:p w14:paraId="305238F8" w14:textId="3C838754" w:rsidR="00744A98" w:rsidRDefault="00744A98" w:rsidP="00A16425">
            <w:pPr>
              <w:jc w:val="center"/>
              <w:rPr>
                <w:rFonts w:ascii="Times New Roman" w:hAnsi="Times New Roman" w:cs="Times New Roman"/>
                <w:sz w:val="18"/>
                <w:szCs w:val="18"/>
              </w:rPr>
            </w:pPr>
            <w:r>
              <w:rPr>
                <w:rFonts w:ascii="Times New Roman" w:hAnsi="Times New Roman" w:cs="Times New Roman" w:hint="eastAsia"/>
                <w:sz w:val="18"/>
                <w:szCs w:val="18"/>
              </w:rPr>
              <w:t>Duplicate</w:t>
            </w:r>
            <w:r>
              <w:rPr>
                <w:rFonts w:ascii="Times New Roman" w:hAnsi="Times New Roman" w:cs="Times New Roman"/>
                <w:sz w:val="18"/>
                <w:szCs w:val="18"/>
              </w:rPr>
              <w:t>d</w:t>
            </w:r>
            <w:r>
              <w:rPr>
                <w:rFonts w:ascii="Times New Roman" w:hAnsi="Times New Roman" w:cs="Times New Roman" w:hint="eastAsia"/>
                <w:sz w:val="18"/>
                <w:szCs w:val="18"/>
              </w:rPr>
              <w:t xml:space="preserve"> article</w:t>
            </w:r>
            <w:r>
              <w:rPr>
                <w:rFonts w:ascii="Times New Roman" w:hAnsi="Times New Roman" w:cs="Times New Roman"/>
                <w:sz w:val="18"/>
                <w:szCs w:val="18"/>
              </w:rPr>
              <w:t>.</w:t>
            </w:r>
          </w:p>
        </w:tc>
      </w:tr>
      <w:tr w:rsidR="00744A98" w:rsidRPr="00ED17E9" w14:paraId="03892DA5"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6B353098" w14:textId="11966BD6" w:rsidR="00744A98" w:rsidRPr="00E57C1B" w:rsidRDefault="00744A98" w:rsidP="00744A98">
            <w:pPr>
              <w:rPr>
                <w:rFonts w:ascii="Times New Roman" w:hAnsi="Times New Roman" w:cs="Times New Roman"/>
                <w:sz w:val="18"/>
                <w:szCs w:val="18"/>
              </w:rPr>
            </w:pPr>
            <w:r>
              <w:rPr>
                <w:rFonts w:ascii="Times New Roman" w:hAnsi="Times New Roman" w:cs="Times New Roman" w:hint="eastAsia"/>
                <w:sz w:val="18"/>
                <w:szCs w:val="18"/>
              </w:rPr>
              <w:t>Yu</w:t>
            </w:r>
            <w:r>
              <w:rPr>
                <w:rFonts w:ascii="Times New Roman" w:hAnsi="Times New Roman" w:cs="Times New Roman"/>
                <w:sz w:val="18"/>
                <w:szCs w:val="18"/>
              </w:rPr>
              <w:t xml:space="preserve"> </w:t>
            </w:r>
            <w:r>
              <w:rPr>
                <w:rFonts w:ascii="Times New Roman" w:hAnsi="Times New Roman" w:cs="Times New Roman" w:hint="eastAsia"/>
                <w:sz w:val="18"/>
                <w:szCs w:val="18"/>
              </w:rPr>
              <w:t>Zhang</w:t>
            </w:r>
            <w:r>
              <w:rPr>
                <w:rFonts w:ascii="Times New Roman" w:hAnsi="Times New Roman" w:cs="Times New Roman"/>
                <w:sz w:val="18"/>
                <w:szCs w:val="18"/>
              </w:rPr>
              <w:t xml:space="preserve"> </w:t>
            </w:r>
            <w:r>
              <w:rPr>
                <w:rFonts w:ascii="Times New Roman" w:hAnsi="Times New Roman" w:cs="Times New Roman" w:hint="eastAsia"/>
                <w:sz w:val="18"/>
                <w:szCs w:val="18"/>
              </w:rPr>
              <w:t>et</w:t>
            </w:r>
            <w:r>
              <w:rPr>
                <w:rFonts w:ascii="Times New Roman" w:hAnsi="Times New Roman" w:cs="Times New Roman"/>
                <w:sz w:val="18"/>
                <w:szCs w:val="18"/>
              </w:rPr>
              <w:t xml:space="preserve"> </w:t>
            </w:r>
            <w:r>
              <w:rPr>
                <w:rFonts w:ascii="Times New Roman" w:hAnsi="Times New Roman" w:cs="Times New Roman" w:hint="eastAsia"/>
                <w:sz w:val="18"/>
                <w:szCs w:val="18"/>
              </w:rPr>
              <w:t>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{"citationID":"Y2iULGk7","properties":{"formattedCitation":"\\super 15\\nosupersub{}","plainCitation":"15","noteIndex":0},"citationItems":[{"id":252,"uris":["http://zotero.org/users/local/uiY5RWvR/items/SFD2QHAM"],"uri":["http://zotero.org/users/local/uiY5RWvR/items/SFD2QHAM"],"itemData":{"id":252,"type":"article-journal","abstract":"Background and objective: The exploration for the etiology of osteonecrosis of the femoral head (ONFH) has got some promising ﬁndings, but the morbidity of ONFH is still not under control. The C3435T polymorphism of ATP-binding cassette subfamily B member 1 (ABCB1) gene has been reported to possess signiﬁcant inﬂuence on ONFH onset, but relevant outcomes remain conﬂicting rather than conclusive. Therefore, a meta-analysis was useful to pool these results together for a more reliable conclusion.\nMethods: The association of ABCB1 C3435T polymorphism with ONFH susceptibility was estimated through calculated odds ratios (ORs) with their 95% conﬁdence intervals (95% CIs). The Q-test was applied for detecting inter-study heterogeneity, whereas sensitivity analysis for identifying any study owning substantial inﬂuence on pooled results. Begg’s funnel plot and Egger’s test were employed to examine publication bias across included studies.\nResults: ABCB1 C3435T polymorphism signiﬁcantly decreased the risk of ONFH under TT vs CC (OR = 0.26, 95% CI = 0.13–0.50), TT+CT vs CC (OR = 0.72, 95% CI = 0.52–0.99), TT vs CC+CT (OR = 0.28, 95% CI = 0.15–0.52), and T vs C (OR = 0.64, 95% CI = 0.50–0.81) contrasts.\nConclusion: The variant C3435T in the ABCB1 gene may offer protection against the attack of ONFH, and more studies with larger sample sizes should be conducted to certify this issue. Abbreviations: 95% CIs = 95% conﬁdence intervals, ABCB1 = ATP-binding cassette subfamily B member 1, ALL = acute lymphoblastic leukemia, GANFH = glucocorticoid-induced avascular necrosis of the femoral head, HIV = human immunodeﬁciency virus, MDR1 = multidrug resistance protein 1, NOS = Newcastle–Ottawa Scale, ONFH = osteonecrosis of the femoral head, ORs = odds ratios, P-gp = P-glycoprotein 1, SCFE = slipped capital femoral epiphysis, SLE = systemic lupus erythematosus.","container-title":"Medicine","DOI":"10.1097/MD.0000000000006049","ISSN":"0025-7974","issue":"20","language":"en","page":"e6049","source":"DOI.org (Crossref)","title":"Association of ABCB1 C3435T polymorphism with the susceptibility to osteonecrosis of the femoral head: A meta-analysis","title-short":"Association of ABCB1 C3435T polymorphism with the susceptibility to osteonecrosis of the femoral head","volume":"96","author":[{"family":"Zhang","given":"Yu"},{"family":"Xie","given":"Hui"},{"family":"Zhao","given":"Dewei"},{"family":"Wang","given":"Benjie"},{"family":"Yang","given":"Lei"},{"family":"Meng","given":"Qingyu"}],"issued":{"date-parts":[["2017",5]]}}}],"schema":"https://github.com/citation-style-language/schema/raw/master/csl-citation.json"} </w:instrText>
            </w:r>
            <w:r>
              <w:rPr>
                <w:rFonts w:ascii="Times New Roman" w:hAnsi="Times New Roman" w:cs="Times New Roman"/>
                <w:sz w:val="18"/>
                <w:szCs w:val="18"/>
              </w:rPr>
              <w:fldChar w:fldCharType="separate"/>
            </w:r>
            <w:r w:rsidRPr="00744A98">
              <w:rPr>
                <w:rFonts w:ascii="Times New Roman" w:hAnsi="Times New Roman" w:cs="Times New Roman"/>
                <w:kern w:val="0"/>
                <w:sz w:val="18"/>
                <w:szCs w:val="24"/>
                <w:vertAlign w:val="superscript"/>
              </w:rPr>
              <w:t>15</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72961AA5" w14:textId="1CEB639B" w:rsidR="00744A98" w:rsidRDefault="00744A98" w:rsidP="00A16425">
            <w:pPr>
              <w:jc w:val="center"/>
              <w:rPr>
                <w:rFonts w:ascii="Times New Roman" w:hAnsi="Times New Roman" w:cs="Times New Roman"/>
                <w:sz w:val="18"/>
                <w:szCs w:val="18"/>
              </w:rPr>
            </w:pPr>
            <w:r>
              <w:rPr>
                <w:rFonts w:ascii="Times New Roman" w:hAnsi="Times New Roman" w:cs="Times New Roman" w:hint="eastAsia"/>
                <w:sz w:val="18"/>
                <w:szCs w:val="18"/>
              </w:rPr>
              <w:t>Duplicate</w:t>
            </w:r>
            <w:r>
              <w:rPr>
                <w:rFonts w:ascii="Times New Roman" w:hAnsi="Times New Roman" w:cs="Times New Roman"/>
                <w:sz w:val="18"/>
                <w:szCs w:val="18"/>
              </w:rPr>
              <w:t>d</w:t>
            </w:r>
            <w:r>
              <w:rPr>
                <w:rFonts w:ascii="Times New Roman" w:hAnsi="Times New Roman" w:cs="Times New Roman" w:hint="eastAsia"/>
                <w:sz w:val="18"/>
                <w:szCs w:val="18"/>
              </w:rPr>
              <w:t xml:space="preserve"> article</w:t>
            </w:r>
            <w:r>
              <w:rPr>
                <w:rFonts w:ascii="Times New Roman" w:hAnsi="Times New Roman" w:cs="Times New Roman"/>
                <w:sz w:val="18"/>
                <w:szCs w:val="18"/>
              </w:rPr>
              <w:t>.</w:t>
            </w:r>
          </w:p>
        </w:tc>
      </w:tr>
      <w:tr w:rsidR="00744A98" w:rsidRPr="00ED17E9" w14:paraId="748910C1" w14:textId="77777777" w:rsidTr="007D1862">
        <w:trPr>
          <w:trHeight w:val="242"/>
        </w:trPr>
        <w:tc>
          <w:tcPr>
            <w:tcW w:w="2410" w:type="dxa"/>
            <w:gridSpan w:val="2"/>
            <w:tcBorders>
              <w:top w:val="single" w:sz="18" w:space="0" w:color="auto"/>
              <w:bottom w:val="single" w:sz="18" w:space="0" w:color="auto"/>
              <w:right w:val="single" w:sz="18" w:space="0" w:color="auto"/>
            </w:tcBorders>
          </w:tcPr>
          <w:p w14:paraId="6113AE44" w14:textId="225079DD" w:rsidR="00744A98" w:rsidRPr="00E57C1B" w:rsidRDefault="00744A98" w:rsidP="00744A98">
            <w:pPr>
              <w:rPr>
                <w:rFonts w:ascii="Times New Roman" w:hAnsi="Times New Roman" w:cs="Times New Roman"/>
                <w:sz w:val="18"/>
                <w:szCs w:val="18"/>
              </w:rPr>
            </w:pPr>
            <w:r>
              <w:rPr>
                <w:rFonts w:ascii="Times New Roman" w:hAnsi="Times New Roman" w:cs="Times New Roman" w:hint="eastAsia"/>
                <w:sz w:val="18"/>
                <w:szCs w:val="18"/>
              </w:rPr>
              <w:t>Benjie</w:t>
            </w:r>
            <w:r>
              <w:rPr>
                <w:rFonts w:ascii="Times New Roman" w:hAnsi="Times New Roman" w:cs="Times New Roman"/>
                <w:sz w:val="18"/>
                <w:szCs w:val="18"/>
              </w:rPr>
              <w:t xml:space="preserve"> </w:t>
            </w:r>
            <w:r>
              <w:rPr>
                <w:rFonts w:ascii="Times New Roman" w:hAnsi="Times New Roman" w:cs="Times New Roman" w:hint="eastAsia"/>
                <w:sz w:val="18"/>
                <w:szCs w:val="18"/>
              </w:rPr>
              <w:t>Wang</w:t>
            </w:r>
            <w:r>
              <w:rPr>
                <w:rFonts w:ascii="Times New Roman" w:hAnsi="Times New Roman" w:cs="Times New Roman"/>
                <w:sz w:val="18"/>
                <w:szCs w:val="18"/>
              </w:rPr>
              <w:t xml:space="preserve"> </w:t>
            </w:r>
            <w:r>
              <w:rPr>
                <w:rFonts w:ascii="Times New Roman" w:hAnsi="Times New Roman" w:cs="Times New Roman" w:hint="eastAsia"/>
                <w:sz w:val="18"/>
                <w:szCs w:val="18"/>
              </w:rPr>
              <w:t>et</w:t>
            </w:r>
            <w:r>
              <w:rPr>
                <w:rFonts w:ascii="Times New Roman" w:hAnsi="Times New Roman" w:cs="Times New Roman"/>
                <w:sz w:val="18"/>
                <w:szCs w:val="18"/>
              </w:rPr>
              <w:t xml:space="preserve"> </w:t>
            </w:r>
            <w:r>
              <w:rPr>
                <w:rFonts w:ascii="Times New Roman" w:hAnsi="Times New Roman" w:cs="Times New Roman" w:hint="eastAsia"/>
                <w:sz w:val="18"/>
                <w:szCs w:val="18"/>
              </w:rPr>
              <w:t>al.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{"citationID":"zinXC701","properties":{"formattedCitation":"\\super 16\\nosupersub{}","plainCitation":"16","noteIndex":0},"citationItems":[{"id":261,"uris":["http://zotero.org/users/local/uiY5RWvR/items/YDSDUL5D"],"uri":["http://zotero.org/users/local/uiY5RWvR/items/YDSDUL5D"],"itemData":{"id":261,"type":"article-journal","container-title":"Medical Science Monitor","DOI":"10.12659/MSM.891286","ISSN":"1643-3750","journalAbbreviation":"Med Sci Monit","language":"en","page":"2811-2816","source":"DOI.org (Crossref)","title":"ABCB1 Gene Polymorphisms and Glucocorticoid-Induced Avascular Necrosis of the Femoral Head Susceptibility: A Meta-Analysis","title-short":"ABCB1 Gene Polymorphisms and Glucocorticoid-Induced Avascular Necrosis of the Femoral Head Susceptibility","volume":"20","author":[{"family":"Wang","given":"Benjie"}],"issued":{"date-parts":[["2014"]]}}}],"schema":"https://github.com/citation-style-language/schema/raw/master/csl-citation.json"} </w:instrText>
            </w:r>
            <w:r>
              <w:rPr>
                <w:rFonts w:ascii="Times New Roman" w:hAnsi="Times New Roman" w:cs="Times New Roman"/>
                <w:sz w:val="18"/>
                <w:szCs w:val="18"/>
              </w:rPr>
              <w:fldChar w:fldCharType="separate"/>
            </w:r>
            <w:r w:rsidRPr="00744A98">
              <w:rPr>
                <w:rFonts w:ascii="Times New Roman" w:hAnsi="Times New Roman" w:cs="Times New Roman"/>
                <w:kern w:val="0"/>
                <w:sz w:val="18"/>
                <w:szCs w:val="24"/>
                <w:vertAlign w:val="superscript"/>
              </w:rPr>
              <w:t>16</w:t>
            </w:r>
            <w:r>
              <w:rPr>
                <w:rFonts w:ascii="Times New Roman" w:hAnsi="Times New Roman" w:cs="Times New Roman"/>
                <w:sz w:val="18"/>
                <w:szCs w:val="18"/>
              </w:rPr>
              <w:fldChar w:fldCharType="end"/>
            </w:r>
          </w:p>
        </w:tc>
        <w:tc>
          <w:tcPr>
            <w:tcW w:w="11482" w:type="dxa"/>
            <w:tcBorders>
              <w:top w:val="single" w:sz="18" w:space="0" w:color="auto"/>
              <w:left w:val="single" w:sz="18" w:space="0" w:color="auto"/>
              <w:bottom w:val="single" w:sz="18" w:space="0" w:color="auto"/>
            </w:tcBorders>
          </w:tcPr>
          <w:p w14:paraId="4B115F7D" w14:textId="0D58ECBB" w:rsidR="00744A98" w:rsidRDefault="00744A98" w:rsidP="00A16425">
            <w:pPr>
              <w:jc w:val="center"/>
              <w:rPr>
                <w:rFonts w:ascii="Times New Roman" w:hAnsi="Times New Roman" w:cs="Times New Roman"/>
                <w:sz w:val="18"/>
                <w:szCs w:val="18"/>
              </w:rPr>
            </w:pPr>
            <w:r>
              <w:rPr>
                <w:rFonts w:ascii="Times New Roman" w:hAnsi="Times New Roman" w:cs="Times New Roman" w:hint="eastAsia"/>
                <w:sz w:val="18"/>
                <w:szCs w:val="18"/>
              </w:rPr>
              <w:t>Duplicate</w:t>
            </w:r>
            <w:r>
              <w:rPr>
                <w:rFonts w:ascii="Times New Roman" w:hAnsi="Times New Roman" w:cs="Times New Roman"/>
                <w:sz w:val="18"/>
                <w:szCs w:val="18"/>
              </w:rPr>
              <w:t>d</w:t>
            </w:r>
            <w:r>
              <w:rPr>
                <w:rFonts w:ascii="Times New Roman" w:hAnsi="Times New Roman" w:cs="Times New Roman" w:hint="eastAsia"/>
                <w:sz w:val="18"/>
                <w:szCs w:val="18"/>
              </w:rPr>
              <w:t xml:space="preserve"> article</w:t>
            </w:r>
            <w:r>
              <w:rPr>
                <w:rFonts w:ascii="Times New Roman" w:hAnsi="Times New Roman" w:cs="Times New Roman"/>
                <w:sz w:val="18"/>
                <w:szCs w:val="18"/>
              </w:rPr>
              <w:t>.</w:t>
            </w:r>
          </w:p>
        </w:tc>
      </w:tr>
    </w:tbl>
    <w:p w14:paraId="47BF12DB" w14:textId="77777777" w:rsidR="00744A98" w:rsidRPr="005A1DFD" w:rsidRDefault="00744A98" w:rsidP="00744A98">
      <w:pPr>
        <w:rPr>
          <w:rFonts w:ascii="Times New Roman" w:eastAsia="Times New Roman" w:hAnsi="Times New Roman" w:cs="Times New Roman"/>
          <w:b/>
          <w:bCs/>
          <w:color w:val="000000"/>
          <w:szCs w:val="20"/>
          <w:lang w:eastAsia="pt-BR"/>
        </w:rPr>
      </w:pPr>
      <w:r w:rsidRPr="005A1DFD">
        <w:rPr>
          <w:rFonts w:ascii="Times New Roman" w:eastAsia="Times New Roman" w:hAnsi="Times New Roman" w:cs="Times New Roman"/>
          <w:color w:val="000000"/>
          <w:szCs w:val="20"/>
          <w:lang w:eastAsia="pt-BR"/>
        </w:rPr>
        <w:t xml:space="preserve">Abbreviations: </w:t>
      </w:r>
      <w:r>
        <w:rPr>
          <w:rFonts w:ascii="Times New Roman" w:eastAsia="Times New Roman" w:hAnsi="Times New Roman" w:cs="Times New Roman"/>
          <w:color w:val="000000"/>
          <w:szCs w:val="20"/>
          <w:lang w:eastAsia="pt-BR"/>
        </w:rPr>
        <w:t>FHON, Femoral Head Osteonecrosis</w:t>
      </w:r>
    </w:p>
    <w:p w14:paraId="7E839ADF" w14:textId="6B949B23" w:rsidR="00F621BD" w:rsidRPr="00F646FB" w:rsidRDefault="00F621BD" w:rsidP="00B33B31">
      <w:pPr>
        <w:pStyle w:val="Bibliography"/>
        <w:ind w:left="0" w:firstLine="0"/>
        <w:rPr>
          <w:rFonts w:ascii="Times New Roman" w:hAnsi="Times New Roman" w:cs="Times New Roman"/>
          <w:color w:val="000000" w:themeColor="text1"/>
          <w:szCs w:val="20"/>
        </w:rPr>
      </w:pPr>
    </w:p>
    <w:p w14:paraId="3F10775D" w14:textId="75C0091E" w:rsidR="00B33B31" w:rsidRPr="00531805" w:rsidRDefault="00B33B31" w:rsidP="00B33B31"/>
    <w:p w14:paraId="632AB809" w14:textId="78E32016" w:rsidR="00B33B31" w:rsidRDefault="00B33B31" w:rsidP="00B33B31"/>
    <w:p w14:paraId="3C52DEA2" w14:textId="31CD5307" w:rsidR="00B33B31" w:rsidRDefault="00B33B31" w:rsidP="00B33B31"/>
    <w:p w14:paraId="2CF6FDB9" w14:textId="77777777" w:rsidR="00F646FB" w:rsidRDefault="00F646FB" w:rsidP="00B33B31"/>
    <w:p w14:paraId="26DBCBAA" w14:textId="592107A8" w:rsidR="00B33B31" w:rsidRDefault="00B33B31" w:rsidP="00B33B31"/>
    <w:p w14:paraId="632F9C22" w14:textId="3485B7F8" w:rsidR="00B33B31" w:rsidRDefault="00B33B31" w:rsidP="00B33B31"/>
    <w:p w14:paraId="14116B61" w14:textId="77777777" w:rsidR="00744A98" w:rsidRPr="00744A98" w:rsidRDefault="008B62CF" w:rsidP="00744A98">
      <w:pPr>
        <w:pStyle w:val="Bibliography"/>
        <w:rPr>
          <w:rFonts w:ascii="Malgun Gothic" w:eastAsia="Malgun Gothic" w:hAnsi="Malgun Gothic"/>
        </w:rPr>
      </w:pPr>
      <w:r>
        <w:fldChar w:fldCharType="begin"/>
      </w:r>
      <w:r>
        <w:instrText xml:space="preserve"> ADDIN ZOTERO_BIBL {"uncited":[],"omitted":[],"custom":[]} CSL_BIBLIOGRAPHY </w:instrText>
      </w:r>
      <w:r>
        <w:fldChar w:fldCharType="separate"/>
      </w:r>
      <w:r w:rsidR="00744A98" w:rsidRPr="00744A98">
        <w:rPr>
          <w:rFonts w:ascii="Malgun Gothic" w:eastAsia="Malgun Gothic" w:hAnsi="Malgun Gothic"/>
        </w:rPr>
        <w:t xml:space="preserve">1. </w:t>
      </w:r>
      <w:r w:rsidR="00744A98" w:rsidRPr="00744A98">
        <w:rPr>
          <w:rFonts w:ascii="Malgun Gothic" w:eastAsia="Malgun Gothic" w:hAnsi="Malgun Gothic"/>
        </w:rPr>
        <w:tab/>
        <w:t xml:space="preserve">Yin X, Kim K, Suetsugu H, et al. Meta-analysis of 208370 East Asians identifies 113 susceptibility loci for systemic lupus erythematosus. </w:t>
      </w:r>
      <w:r w:rsidR="00744A98" w:rsidRPr="00744A98">
        <w:rPr>
          <w:rFonts w:ascii="Malgun Gothic" w:eastAsia="Malgun Gothic" w:hAnsi="Malgun Gothic"/>
          <w:i/>
          <w:iCs/>
        </w:rPr>
        <w:t>Ann Rheum Dis</w:t>
      </w:r>
      <w:r w:rsidR="00744A98" w:rsidRPr="00744A98">
        <w:rPr>
          <w:rFonts w:ascii="Malgun Gothic" w:eastAsia="Malgun Gothic" w:hAnsi="Malgun Gothic"/>
        </w:rPr>
        <w:t>. 2021;80(5):632-640. doi:10.1136/annrheumdis-2020-219209</w:t>
      </w:r>
    </w:p>
    <w:p w14:paraId="7B511664"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2. </w:t>
      </w:r>
      <w:r w:rsidRPr="00744A98">
        <w:rPr>
          <w:rFonts w:ascii="Malgun Gothic" w:eastAsia="Malgun Gothic" w:hAnsi="Malgun Gothic"/>
        </w:rPr>
        <w:tab/>
        <w:t xml:space="preserve">Lakkakula BVKS. Association between MTHFR 677C&gt;T polymorphism and vascular complications in sickle cell disease: A meta-analysis. </w:t>
      </w:r>
      <w:r w:rsidRPr="00744A98">
        <w:rPr>
          <w:rFonts w:ascii="Malgun Gothic" w:eastAsia="Malgun Gothic" w:hAnsi="Malgun Gothic"/>
          <w:i/>
          <w:iCs/>
        </w:rPr>
        <w:t>Transfus Clin Biol</w:t>
      </w:r>
      <w:r w:rsidRPr="00744A98">
        <w:rPr>
          <w:rFonts w:ascii="Malgun Gothic" w:eastAsia="Malgun Gothic" w:hAnsi="Malgun Gothic"/>
        </w:rPr>
        <w:t>. 2019;26(4):284-288. doi:10.1016/j.tracli.2019.01.003</w:t>
      </w:r>
    </w:p>
    <w:p w14:paraId="70D4F655"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3. </w:t>
      </w:r>
      <w:r w:rsidRPr="00744A98">
        <w:rPr>
          <w:rFonts w:ascii="Malgun Gothic" w:eastAsia="Malgun Gothic" w:hAnsi="Malgun Gothic"/>
        </w:rPr>
        <w:tab/>
        <w:t xml:space="preserve">Hao Y, Guo H, Xu Z, et al. The relationship between apolipoprotein genes polymorphisms and susceptibility to osteonecrosis of the femoral head: a meta-analysis. </w:t>
      </w:r>
      <w:r w:rsidRPr="00744A98">
        <w:rPr>
          <w:rFonts w:ascii="Malgun Gothic" w:eastAsia="Malgun Gothic" w:hAnsi="Malgun Gothic"/>
          <w:i/>
          <w:iCs/>
        </w:rPr>
        <w:t>Lipids Health Dis</w:t>
      </w:r>
      <w:r w:rsidRPr="00744A98">
        <w:rPr>
          <w:rFonts w:ascii="Malgun Gothic" w:eastAsia="Malgun Gothic" w:hAnsi="Malgun Gothic"/>
        </w:rPr>
        <w:t>. 2018;17(1):192. doi:10.1186/s12944-018-0827-0</w:t>
      </w:r>
    </w:p>
    <w:p w14:paraId="34FB0C65"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4. </w:t>
      </w:r>
      <w:r w:rsidRPr="00744A98">
        <w:rPr>
          <w:rFonts w:ascii="Malgun Gothic" w:eastAsia="Malgun Gothic" w:hAnsi="Malgun Gothic"/>
        </w:rPr>
        <w:tab/>
        <w:t xml:space="preserve">Guo F-Q, Deng M. Correlation Between Steroid-Induced Osteonecrosis of The Femoral Head and Hepatic CYP3A Activity: A Systematic Review and Meta-Analysis. </w:t>
      </w:r>
      <w:r w:rsidRPr="00744A98">
        <w:rPr>
          <w:rFonts w:ascii="Malgun Gothic" w:eastAsia="Malgun Gothic" w:hAnsi="Malgun Gothic"/>
          <w:i/>
          <w:iCs/>
        </w:rPr>
        <w:t>J Invest Surg</w:t>
      </w:r>
      <w:r w:rsidRPr="00744A98">
        <w:rPr>
          <w:rFonts w:ascii="Malgun Gothic" w:eastAsia="Malgun Gothic" w:hAnsi="Malgun Gothic"/>
        </w:rPr>
        <w:t>. 2019;32(2):118-126. doi:10.1080/08941939.2017.1385663</w:t>
      </w:r>
    </w:p>
    <w:p w14:paraId="1E175FBA"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5. </w:t>
      </w:r>
      <w:r w:rsidRPr="00744A98">
        <w:rPr>
          <w:rFonts w:ascii="Malgun Gothic" w:eastAsia="Malgun Gothic" w:hAnsi="Malgun Gothic"/>
        </w:rPr>
        <w:tab/>
        <w:t xml:space="preserve">Yang G, Hamadeh IS, Katz J, et al. </w:t>
      </w:r>
      <w:r w:rsidRPr="00744A98">
        <w:rPr>
          <w:rFonts w:ascii="Malgun Gothic" w:eastAsia="Malgun Gothic" w:hAnsi="Malgun Gothic"/>
          <w:i/>
          <w:iCs/>
        </w:rPr>
        <w:t>SIRT1/HERC4</w:t>
      </w:r>
      <w:r w:rsidRPr="00744A98">
        <w:rPr>
          <w:rFonts w:ascii="Malgun Gothic" w:eastAsia="Malgun Gothic" w:hAnsi="Malgun Gothic"/>
        </w:rPr>
        <w:t xml:space="preserve"> Locus Associated With Bisphosphonate-Induced Osteonecrosis of the Jaw: An Exome-Wide Association Analysis: </w:t>
      </w:r>
      <w:r w:rsidRPr="00744A98">
        <w:rPr>
          <w:rFonts w:ascii="Malgun Gothic" w:eastAsia="Malgun Gothic" w:hAnsi="Malgun Gothic"/>
          <w:i/>
          <w:iCs/>
        </w:rPr>
        <w:t>SIRT1/HERC4</w:t>
      </w:r>
      <w:r w:rsidRPr="00744A98">
        <w:rPr>
          <w:rFonts w:ascii="Malgun Gothic" w:eastAsia="Malgun Gothic" w:hAnsi="Malgun Gothic"/>
        </w:rPr>
        <w:t xml:space="preserve"> LOCUS ASSOCIATED WITH BP-INDUCED ONJ. </w:t>
      </w:r>
      <w:r w:rsidRPr="00744A98">
        <w:rPr>
          <w:rFonts w:ascii="Malgun Gothic" w:eastAsia="Malgun Gothic" w:hAnsi="Malgun Gothic"/>
          <w:i/>
          <w:iCs/>
        </w:rPr>
        <w:t>J Bone Miner Res</w:t>
      </w:r>
      <w:r w:rsidRPr="00744A98">
        <w:rPr>
          <w:rFonts w:ascii="Malgun Gothic" w:eastAsia="Malgun Gothic" w:hAnsi="Malgun Gothic"/>
        </w:rPr>
        <w:t>. 2018;33(1):91-98. doi:10.1002/jbmr.3285</w:t>
      </w:r>
    </w:p>
    <w:p w14:paraId="01C01EAB"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6. </w:t>
      </w:r>
      <w:r w:rsidRPr="00744A98">
        <w:rPr>
          <w:rFonts w:ascii="Malgun Gothic" w:eastAsia="Malgun Gothic" w:hAnsi="Malgun Gothic"/>
        </w:rPr>
        <w:tab/>
        <w:t>Zeng Z, Wang B, Pan H. Relation between osteonecrosis of the femoral head and PAI-1 4G/5G gene polymorphism: a meta-analysis. :6.</w:t>
      </w:r>
    </w:p>
    <w:p w14:paraId="42652D29"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7. </w:t>
      </w:r>
      <w:r w:rsidRPr="00744A98">
        <w:rPr>
          <w:rFonts w:ascii="Malgun Gothic" w:eastAsia="Malgun Gothic" w:hAnsi="Malgun Gothic"/>
        </w:rPr>
        <w:tab/>
        <w:t>Karol SE, Jr LAM, Yang W, et al. Genetic risk factors for the development of osteonecrosis in children under age 10 treated for acute lymphoblastic leukemia. 2016;127(5):8.</w:t>
      </w:r>
    </w:p>
    <w:p w14:paraId="3E8249BA"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8. </w:t>
      </w:r>
      <w:r w:rsidRPr="00744A98">
        <w:rPr>
          <w:rFonts w:ascii="Malgun Gothic" w:eastAsia="Malgun Gothic" w:hAnsi="Malgun Gothic"/>
        </w:rPr>
        <w:tab/>
        <w:t xml:space="preserve">Zhou ZC, Gu SZ, Wu J, Liang QW. VEGF, eNOS, and ABCB1 genetic polymorphisms may increase the risk of osteonecrosis of the femoral head. </w:t>
      </w:r>
      <w:r w:rsidRPr="00744A98">
        <w:rPr>
          <w:rFonts w:ascii="Malgun Gothic" w:eastAsia="Malgun Gothic" w:hAnsi="Malgun Gothic"/>
          <w:i/>
          <w:iCs/>
        </w:rPr>
        <w:t>Genet Mol Res</w:t>
      </w:r>
      <w:r w:rsidRPr="00744A98">
        <w:rPr>
          <w:rFonts w:ascii="Malgun Gothic" w:eastAsia="Malgun Gothic" w:hAnsi="Malgun Gothic"/>
        </w:rPr>
        <w:t>. 2015;14(4):13688-13698. doi:10.4238/2015.October.28.31</w:t>
      </w:r>
    </w:p>
    <w:p w14:paraId="27532828"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9. </w:t>
      </w:r>
      <w:r w:rsidRPr="00744A98">
        <w:rPr>
          <w:rFonts w:ascii="Malgun Gothic" w:eastAsia="Malgun Gothic" w:hAnsi="Malgun Gothic"/>
        </w:rPr>
        <w:tab/>
        <w:t xml:space="preserve">Karol SE, Yang W, Van Driest SL, et al. Genetics of glucocorticoid-associated osteonecrosis in children with acute lymphoblastic leukemia. </w:t>
      </w:r>
      <w:r w:rsidRPr="00744A98">
        <w:rPr>
          <w:rFonts w:ascii="Malgun Gothic" w:eastAsia="Malgun Gothic" w:hAnsi="Malgun Gothic"/>
          <w:i/>
          <w:iCs/>
        </w:rPr>
        <w:t>Blood</w:t>
      </w:r>
      <w:r w:rsidRPr="00744A98">
        <w:rPr>
          <w:rFonts w:ascii="Malgun Gothic" w:eastAsia="Malgun Gothic" w:hAnsi="Malgun Gothic"/>
        </w:rPr>
        <w:t>. 2015;126(15):1770-1776. doi:10.1182/blood-2015-05-643601</w:t>
      </w:r>
    </w:p>
    <w:p w14:paraId="3C385A3A"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10. </w:t>
      </w:r>
      <w:r w:rsidRPr="00744A98">
        <w:rPr>
          <w:rFonts w:ascii="Malgun Gothic" w:eastAsia="Malgun Gothic" w:hAnsi="Malgun Gothic"/>
        </w:rPr>
        <w:tab/>
        <w:t xml:space="preserve">Chai W, Zhang Z, Ni M, et al. Genetic Association between Methylenetetrahydrofolate Reductase Gene Polymorphism and Risk of Osteonecrosis of </w:t>
      </w:r>
      <w:r w:rsidRPr="00744A98">
        <w:rPr>
          <w:rFonts w:ascii="Malgun Gothic" w:eastAsia="Malgun Gothic" w:hAnsi="Malgun Gothic"/>
        </w:rPr>
        <w:lastRenderedPageBreak/>
        <w:t xml:space="preserve">the Femoral Head. </w:t>
      </w:r>
      <w:r w:rsidRPr="00744A98">
        <w:rPr>
          <w:rFonts w:ascii="Malgun Gothic" w:eastAsia="Malgun Gothic" w:hAnsi="Malgun Gothic"/>
          <w:i/>
          <w:iCs/>
        </w:rPr>
        <w:t>BioMed Res Int</w:t>
      </w:r>
      <w:r w:rsidRPr="00744A98">
        <w:rPr>
          <w:rFonts w:ascii="Malgun Gothic" w:eastAsia="Malgun Gothic" w:hAnsi="Malgun Gothic"/>
        </w:rPr>
        <w:t>. 2015;2015:1-6. doi:10.1155/2015/196495</w:t>
      </w:r>
    </w:p>
    <w:p w14:paraId="58EA38C9"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11. </w:t>
      </w:r>
      <w:r w:rsidRPr="00744A98">
        <w:rPr>
          <w:rFonts w:ascii="Malgun Gothic" w:eastAsia="Malgun Gothic" w:hAnsi="Malgun Gothic"/>
        </w:rPr>
        <w:tab/>
        <w:t xml:space="preserve">Woratanarat P, Thaveeratitharm C, Woratanarat T, Angsanuntsukh C, Attia J, Thakkinstian A. Meta-analysis of hypercoagulability genetic polymorphisms in perthes disease: META-ANALYSIS OF POLYMORPHISMS IN PERTHES. </w:t>
      </w:r>
      <w:r w:rsidRPr="00744A98">
        <w:rPr>
          <w:rFonts w:ascii="Malgun Gothic" w:eastAsia="Malgun Gothic" w:hAnsi="Malgun Gothic"/>
          <w:i/>
          <w:iCs/>
        </w:rPr>
        <w:t>J Orthop Res</w:t>
      </w:r>
      <w:r w:rsidRPr="00744A98">
        <w:rPr>
          <w:rFonts w:ascii="Malgun Gothic" w:eastAsia="Malgun Gothic" w:hAnsi="Malgun Gothic"/>
        </w:rPr>
        <w:t>. 2014;32(1):1-7. doi:10.1002/jor.22473</w:t>
      </w:r>
    </w:p>
    <w:p w14:paraId="2C916F6E"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12. </w:t>
      </w:r>
      <w:r w:rsidRPr="00744A98">
        <w:rPr>
          <w:rFonts w:ascii="Malgun Gothic" w:eastAsia="Malgun Gothic" w:hAnsi="Malgun Gothic"/>
        </w:rPr>
        <w:tab/>
        <w:t xml:space="preserve">Liang X-N, Xie L, Cheng J-W, et al. Association between PAI-1 4G/5G Polymorphisms and osteonecrosis of femoral head: A Meta-analysis. </w:t>
      </w:r>
      <w:r w:rsidRPr="00744A98">
        <w:rPr>
          <w:rFonts w:ascii="Malgun Gothic" w:eastAsia="Malgun Gothic" w:hAnsi="Malgun Gothic"/>
          <w:i/>
          <w:iCs/>
        </w:rPr>
        <w:t>Thromb Res</w:t>
      </w:r>
      <w:r w:rsidRPr="00744A98">
        <w:rPr>
          <w:rFonts w:ascii="Malgun Gothic" w:eastAsia="Malgun Gothic" w:hAnsi="Malgun Gothic"/>
        </w:rPr>
        <w:t>. 2013;132(2):158-163. doi:10.1016/j.thromres.2013.06.023</w:t>
      </w:r>
    </w:p>
    <w:p w14:paraId="626CA4D4"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13. </w:t>
      </w:r>
      <w:r w:rsidRPr="00744A98">
        <w:rPr>
          <w:rFonts w:ascii="Malgun Gothic" w:eastAsia="Malgun Gothic" w:hAnsi="Malgun Gothic"/>
        </w:rPr>
        <w:tab/>
        <w:t xml:space="preserve">Shang X, Su H, Chang W, Wang C, Han Q, Xu Z. Association between MTHFR C677T polymorphism and osteonecrosis of the femoral head: a meta-analysis. </w:t>
      </w:r>
      <w:r w:rsidRPr="00744A98">
        <w:rPr>
          <w:rFonts w:ascii="Malgun Gothic" w:eastAsia="Malgun Gothic" w:hAnsi="Malgun Gothic"/>
          <w:i/>
          <w:iCs/>
        </w:rPr>
        <w:t>Mol Biol Rep</w:t>
      </w:r>
      <w:r w:rsidRPr="00744A98">
        <w:rPr>
          <w:rFonts w:ascii="Malgun Gothic" w:eastAsia="Malgun Gothic" w:hAnsi="Malgun Gothic"/>
        </w:rPr>
        <w:t>. 2012;39(6):7089-7094. doi:10.1007/s11033-012-1540-0</w:t>
      </w:r>
    </w:p>
    <w:p w14:paraId="7CFC38FF"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14. </w:t>
      </w:r>
      <w:r w:rsidRPr="00744A98">
        <w:rPr>
          <w:rFonts w:ascii="Malgun Gothic" w:eastAsia="Malgun Gothic" w:hAnsi="Malgun Gothic"/>
        </w:rPr>
        <w:tab/>
        <w:t xml:space="preserve">Sobhan MR, Mahdinezhad-Yazdi M, Moghimi M, et al. Plasminogen Activator Inhibitor-1 4G/5G Polymorphism Contributes to Osteonecrosis of the Femoral Head Susceptibility: Evidence from a Systematic Review and Meta-analysis. . </w:t>
      </w:r>
      <w:r w:rsidRPr="00744A98">
        <w:rPr>
          <w:rFonts w:ascii="Malgun Gothic" w:eastAsia="Malgun Gothic" w:hAnsi="Malgun Gothic"/>
          <w:i/>
          <w:iCs/>
        </w:rPr>
        <w:t>NUMBER</w:t>
      </w:r>
      <w:r w:rsidRPr="00744A98">
        <w:rPr>
          <w:rFonts w:ascii="Malgun Gothic" w:eastAsia="Malgun Gothic" w:hAnsi="Malgun Gothic"/>
        </w:rPr>
        <w:t>. 2018;6(6):10.</w:t>
      </w:r>
    </w:p>
    <w:p w14:paraId="7323829F"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15. </w:t>
      </w:r>
      <w:r w:rsidRPr="00744A98">
        <w:rPr>
          <w:rFonts w:ascii="Malgun Gothic" w:eastAsia="Malgun Gothic" w:hAnsi="Malgun Gothic"/>
        </w:rPr>
        <w:tab/>
        <w:t xml:space="preserve">Zhang Y, Xie H, Zhao D, Wang B, Yang L, Meng Q. Association of ABCB1 C3435T polymorphism with the susceptibility to osteonecrosis of the femoral head: A meta-analysis. </w:t>
      </w:r>
      <w:r w:rsidRPr="00744A98">
        <w:rPr>
          <w:rFonts w:ascii="Malgun Gothic" w:eastAsia="Malgun Gothic" w:hAnsi="Malgun Gothic"/>
          <w:i/>
          <w:iCs/>
        </w:rPr>
        <w:t>Medicine (Baltimore)</w:t>
      </w:r>
      <w:r w:rsidRPr="00744A98">
        <w:rPr>
          <w:rFonts w:ascii="Malgun Gothic" w:eastAsia="Malgun Gothic" w:hAnsi="Malgun Gothic"/>
        </w:rPr>
        <w:t>. 2017;96(20):e6049. doi:10.1097/MD.0000000000006049</w:t>
      </w:r>
    </w:p>
    <w:p w14:paraId="345714DC" w14:textId="77777777" w:rsidR="00744A98" w:rsidRPr="00744A98" w:rsidRDefault="00744A98" w:rsidP="00744A98">
      <w:pPr>
        <w:pStyle w:val="Bibliography"/>
        <w:rPr>
          <w:rFonts w:ascii="Malgun Gothic" w:eastAsia="Malgun Gothic" w:hAnsi="Malgun Gothic"/>
        </w:rPr>
      </w:pPr>
      <w:r w:rsidRPr="00744A98">
        <w:rPr>
          <w:rFonts w:ascii="Malgun Gothic" w:eastAsia="Malgun Gothic" w:hAnsi="Malgun Gothic"/>
        </w:rPr>
        <w:t xml:space="preserve">16. </w:t>
      </w:r>
      <w:r w:rsidRPr="00744A98">
        <w:rPr>
          <w:rFonts w:ascii="Malgun Gothic" w:eastAsia="Malgun Gothic" w:hAnsi="Malgun Gothic"/>
        </w:rPr>
        <w:tab/>
        <w:t xml:space="preserve">Wang B. ABCB1 Gene Polymorphisms and Glucocorticoid-Induced Avascular Necrosis of the Femoral Head Susceptibility: A Meta-Analysis. </w:t>
      </w:r>
      <w:r w:rsidRPr="00744A98">
        <w:rPr>
          <w:rFonts w:ascii="Malgun Gothic" w:eastAsia="Malgun Gothic" w:hAnsi="Malgun Gothic"/>
          <w:i/>
          <w:iCs/>
        </w:rPr>
        <w:t>Med Sci Monit</w:t>
      </w:r>
      <w:r w:rsidRPr="00744A98">
        <w:rPr>
          <w:rFonts w:ascii="Malgun Gothic" w:eastAsia="Malgun Gothic" w:hAnsi="Malgun Gothic"/>
        </w:rPr>
        <w:t>. 2014;20:2811-2816. doi:10.12659/MSM.891286</w:t>
      </w:r>
    </w:p>
    <w:p w14:paraId="08EF62FD" w14:textId="0BC80295" w:rsidR="00B33B31" w:rsidRPr="00B33B31" w:rsidRDefault="008B62CF" w:rsidP="00B33B31">
      <w:r>
        <w:fldChar w:fldCharType="end"/>
      </w:r>
    </w:p>
    <w:sectPr w:rsidR="00B33B31" w:rsidRPr="00B33B31" w:rsidSect="000A1705">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5BA00" w14:textId="77777777" w:rsidR="000E5AE0" w:rsidRDefault="000E5AE0" w:rsidP="004A4631">
      <w:pPr>
        <w:spacing w:after="0" w:line="240" w:lineRule="auto"/>
      </w:pPr>
      <w:r>
        <w:separator/>
      </w:r>
    </w:p>
  </w:endnote>
  <w:endnote w:type="continuationSeparator" w:id="0">
    <w:p w14:paraId="1899C060" w14:textId="77777777" w:rsidR="000E5AE0" w:rsidRDefault="000E5AE0" w:rsidP="004A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E8562" w14:textId="77777777" w:rsidR="000E5AE0" w:rsidRDefault="000E5AE0" w:rsidP="004A4631">
      <w:pPr>
        <w:spacing w:after="0" w:line="240" w:lineRule="auto"/>
      </w:pPr>
      <w:r>
        <w:separator/>
      </w:r>
    </w:p>
  </w:footnote>
  <w:footnote w:type="continuationSeparator" w:id="0">
    <w:p w14:paraId="2DA565BC" w14:textId="77777777" w:rsidR="000E5AE0" w:rsidRDefault="000E5AE0" w:rsidP="004A46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13BD9"/>
    <w:multiLevelType w:val="hybridMultilevel"/>
    <w:tmpl w:val="B456DEDA"/>
    <w:lvl w:ilvl="0" w:tplc="D6528F86">
      <w:start w:val="1"/>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64612F35"/>
    <w:multiLevelType w:val="hybridMultilevel"/>
    <w:tmpl w:val="398E449A"/>
    <w:lvl w:ilvl="0" w:tplc="15884180">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3NDM2MDAxMDEzMLFQ0lEKTi0uzszPAykwrgUA2GTkrCwAAAA="/>
  </w:docVars>
  <w:rsids>
    <w:rsidRoot w:val="000A1705"/>
    <w:rsid w:val="0003442D"/>
    <w:rsid w:val="0006356C"/>
    <w:rsid w:val="00065ACB"/>
    <w:rsid w:val="000A1705"/>
    <w:rsid w:val="000A6513"/>
    <w:rsid w:val="000A6CAB"/>
    <w:rsid w:val="000D0F1F"/>
    <w:rsid w:val="000E5AE0"/>
    <w:rsid w:val="000F03A5"/>
    <w:rsid w:val="001146ED"/>
    <w:rsid w:val="00134728"/>
    <w:rsid w:val="001356C0"/>
    <w:rsid w:val="0015538D"/>
    <w:rsid w:val="00197257"/>
    <w:rsid w:val="001B02C7"/>
    <w:rsid w:val="001E217A"/>
    <w:rsid w:val="00204AD7"/>
    <w:rsid w:val="00206F53"/>
    <w:rsid w:val="0022442D"/>
    <w:rsid w:val="00234A2C"/>
    <w:rsid w:val="002559CD"/>
    <w:rsid w:val="00284426"/>
    <w:rsid w:val="00296155"/>
    <w:rsid w:val="002F49B9"/>
    <w:rsid w:val="003014E9"/>
    <w:rsid w:val="00315250"/>
    <w:rsid w:val="00332483"/>
    <w:rsid w:val="0038202E"/>
    <w:rsid w:val="003A5E23"/>
    <w:rsid w:val="003B141D"/>
    <w:rsid w:val="003B4C6C"/>
    <w:rsid w:val="003E3762"/>
    <w:rsid w:val="003F6073"/>
    <w:rsid w:val="00406227"/>
    <w:rsid w:val="00471510"/>
    <w:rsid w:val="0048367A"/>
    <w:rsid w:val="00491438"/>
    <w:rsid w:val="004A4631"/>
    <w:rsid w:val="004D16F6"/>
    <w:rsid w:val="004E3432"/>
    <w:rsid w:val="004F65EA"/>
    <w:rsid w:val="00505575"/>
    <w:rsid w:val="00517BC1"/>
    <w:rsid w:val="00531805"/>
    <w:rsid w:val="0057444E"/>
    <w:rsid w:val="00591541"/>
    <w:rsid w:val="005B7EC4"/>
    <w:rsid w:val="006173D9"/>
    <w:rsid w:val="00627D98"/>
    <w:rsid w:val="00681532"/>
    <w:rsid w:val="006930FF"/>
    <w:rsid w:val="00700ECA"/>
    <w:rsid w:val="00702585"/>
    <w:rsid w:val="00704825"/>
    <w:rsid w:val="00726F0C"/>
    <w:rsid w:val="00740196"/>
    <w:rsid w:val="00744A98"/>
    <w:rsid w:val="00763AFF"/>
    <w:rsid w:val="007666D0"/>
    <w:rsid w:val="00775DA6"/>
    <w:rsid w:val="007B31DE"/>
    <w:rsid w:val="007D1862"/>
    <w:rsid w:val="007D1CDB"/>
    <w:rsid w:val="007F14CF"/>
    <w:rsid w:val="00827AC9"/>
    <w:rsid w:val="00870C85"/>
    <w:rsid w:val="0087170C"/>
    <w:rsid w:val="00875446"/>
    <w:rsid w:val="00890C3A"/>
    <w:rsid w:val="008A07CB"/>
    <w:rsid w:val="008A498B"/>
    <w:rsid w:val="008A6FAB"/>
    <w:rsid w:val="008B62CF"/>
    <w:rsid w:val="008D7F4B"/>
    <w:rsid w:val="008F0BE1"/>
    <w:rsid w:val="008F718D"/>
    <w:rsid w:val="00916DC6"/>
    <w:rsid w:val="009241AE"/>
    <w:rsid w:val="00952737"/>
    <w:rsid w:val="00961E31"/>
    <w:rsid w:val="009B2861"/>
    <w:rsid w:val="009E488D"/>
    <w:rsid w:val="00A0735C"/>
    <w:rsid w:val="00A13268"/>
    <w:rsid w:val="00A16425"/>
    <w:rsid w:val="00A20FDC"/>
    <w:rsid w:val="00A71413"/>
    <w:rsid w:val="00A856D5"/>
    <w:rsid w:val="00A94F45"/>
    <w:rsid w:val="00A95539"/>
    <w:rsid w:val="00AA0E59"/>
    <w:rsid w:val="00AA7855"/>
    <w:rsid w:val="00AC6129"/>
    <w:rsid w:val="00AF4CB3"/>
    <w:rsid w:val="00AF64CF"/>
    <w:rsid w:val="00B31A66"/>
    <w:rsid w:val="00B33B31"/>
    <w:rsid w:val="00B3750E"/>
    <w:rsid w:val="00B76D2C"/>
    <w:rsid w:val="00B8445E"/>
    <w:rsid w:val="00B85A6E"/>
    <w:rsid w:val="00BF354F"/>
    <w:rsid w:val="00C06F65"/>
    <w:rsid w:val="00C22E9C"/>
    <w:rsid w:val="00C305B6"/>
    <w:rsid w:val="00C33F94"/>
    <w:rsid w:val="00C513C7"/>
    <w:rsid w:val="00C85611"/>
    <w:rsid w:val="00C91BC6"/>
    <w:rsid w:val="00C94335"/>
    <w:rsid w:val="00CA0E51"/>
    <w:rsid w:val="00CA3853"/>
    <w:rsid w:val="00CE300B"/>
    <w:rsid w:val="00CE46C7"/>
    <w:rsid w:val="00CF0DB5"/>
    <w:rsid w:val="00CF7DE9"/>
    <w:rsid w:val="00D025EC"/>
    <w:rsid w:val="00D0652C"/>
    <w:rsid w:val="00D0784E"/>
    <w:rsid w:val="00D82273"/>
    <w:rsid w:val="00DB2FB4"/>
    <w:rsid w:val="00E00917"/>
    <w:rsid w:val="00E05ED6"/>
    <w:rsid w:val="00E115C4"/>
    <w:rsid w:val="00E37FAB"/>
    <w:rsid w:val="00E57C1B"/>
    <w:rsid w:val="00ED17E9"/>
    <w:rsid w:val="00ED5254"/>
    <w:rsid w:val="00ED7622"/>
    <w:rsid w:val="00ED7E2D"/>
    <w:rsid w:val="00EE33CB"/>
    <w:rsid w:val="00F37C2A"/>
    <w:rsid w:val="00F621BD"/>
    <w:rsid w:val="00F646FB"/>
    <w:rsid w:val="00F66B40"/>
    <w:rsid w:val="00F66F43"/>
    <w:rsid w:val="00FA06BA"/>
    <w:rsid w:val="00FC0E88"/>
    <w:rsid w:val="00FC3C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D11A6"/>
  <w15:docId w15:val="{4AFD13F5-0329-4A7E-975A-48A06DC2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705"/>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1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631"/>
    <w:pPr>
      <w:tabs>
        <w:tab w:val="center" w:pos="4513"/>
        <w:tab w:val="right" w:pos="9026"/>
      </w:tabs>
      <w:snapToGrid w:val="0"/>
    </w:pPr>
  </w:style>
  <w:style w:type="character" w:customStyle="1" w:styleId="HeaderChar">
    <w:name w:val="Header Char"/>
    <w:basedOn w:val="DefaultParagraphFont"/>
    <w:link w:val="Header"/>
    <w:uiPriority w:val="99"/>
    <w:rsid w:val="004A4631"/>
  </w:style>
  <w:style w:type="paragraph" w:styleId="Footer">
    <w:name w:val="footer"/>
    <w:basedOn w:val="Normal"/>
    <w:link w:val="FooterChar"/>
    <w:uiPriority w:val="99"/>
    <w:unhideWhenUsed/>
    <w:rsid w:val="004A4631"/>
    <w:pPr>
      <w:tabs>
        <w:tab w:val="center" w:pos="4513"/>
        <w:tab w:val="right" w:pos="9026"/>
      </w:tabs>
      <w:snapToGrid w:val="0"/>
    </w:pPr>
  </w:style>
  <w:style w:type="character" w:customStyle="1" w:styleId="FooterChar">
    <w:name w:val="Footer Char"/>
    <w:basedOn w:val="DefaultParagraphFont"/>
    <w:link w:val="Footer"/>
    <w:uiPriority w:val="99"/>
    <w:rsid w:val="004A4631"/>
  </w:style>
  <w:style w:type="paragraph" w:styleId="BalloonText">
    <w:name w:val="Balloon Text"/>
    <w:basedOn w:val="Normal"/>
    <w:link w:val="BalloonTextChar"/>
    <w:uiPriority w:val="99"/>
    <w:semiHidden/>
    <w:unhideWhenUsed/>
    <w:rsid w:val="00134728"/>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34728"/>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8F0BE1"/>
    <w:rPr>
      <w:color w:val="808080"/>
    </w:rPr>
  </w:style>
  <w:style w:type="paragraph" w:styleId="ListParagraph">
    <w:name w:val="List Paragraph"/>
    <w:basedOn w:val="Normal"/>
    <w:uiPriority w:val="34"/>
    <w:qFormat/>
    <w:rsid w:val="00B8445E"/>
    <w:pPr>
      <w:ind w:leftChars="400" w:left="800"/>
    </w:pPr>
  </w:style>
  <w:style w:type="paragraph" w:customStyle="1" w:styleId="Default">
    <w:name w:val="Default"/>
    <w:rsid w:val="00CA3853"/>
    <w:pPr>
      <w:widowControl w:val="0"/>
      <w:autoSpaceDE w:val="0"/>
      <w:autoSpaceDN w:val="0"/>
      <w:adjustRightInd w:val="0"/>
      <w:spacing w:after="0" w:line="240" w:lineRule="auto"/>
      <w:jc w:val="left"/>
    </w:pPr>
    <w:rPr>
      <w:rFonts w:ascii="Cambria" w:hAnsi="Cambria" w:cs="Cambria"/>
      <w:color w:val="000000"/>
      <w:kern w:val="0"/>
      <w:sz w:val="24"/>
      <w:szCs w:val="24"/>
    </w:rPr>
  </w:style>
  <w:style w:type="character" w:customStyle="1" w:styleId="A3">
    <w:name w:val="A3"/>
    <w:uiPriority w:val="99"/>
    <w:rsid w:val="00CA3853"/>
    <w:rPr>
      <w:rFonts w:cs="Cambria"/>
      <w:color w:val="000000"/>
      <w:sz w:val="20"/>
      <w:szCs w:val="20"/>
    </w:rPr>
  </w:style>
  <w:style w:type="paragraph" w:styleId="FootnoteText">
    <w:name w:val="footnote text"/>
    <w:basedOn w:val="Normal"/>
    <w:link w:val="FootnoteTextChar"/>
    <w:uiPriority w:val="99"/>
    <w:semiHidden/>
    <w:unhideWhenUsed/>
    <w:rsid w:val="00681532"/>
    <w:pPr>
      <w:snapToGrid w:val="0"/>
      <w:jc w:val="left"/>
    </w:pPr>
  </w:style>
  <w:style w:type="character" w:customStyle="1" w:styleId="FootnoteTextChar">
    <w:name w:val="Footnote Text Char"/>
    <w:basedOn w:val="DefaultParagraphFont"/>
    <w:link w:val="FootnoteText"/>
    <w:uiPriority w:val="99"/>
    <w:semiHidden/>
    <w:rsid w:val="00681532"/>
  </w:style>
  <w:style w:type="character" w:styleId="FootnoteReference">
    <w:name w:val="footnote reference"/>
    <w:basedOn w:val="DefaultParagraphFont"/>
    <w:uiPriority w:val="99"/>
    <w:semiHidden/>
    <w:unhideWhenUsed/>
    <w:rsid w:val="00681532"/>
    <w:rPr>
      <w:vertAlign w:val="superscript"/>
    </w:rPr>
  </w:style>
  <w:style w:type="paragraph" w:styleId="Bibliography">
    <w:name w:val="Bibliography"/>
    <w:basedOn w:val="Normal"/>
    <w:next w:val="Normal"/>
    <w:uiPriority w:val="37"/>
    <w:unhideWhenUsed/>
    <w:rsid w:val="00F621BD"/>
    <w:pPr>
      <w:tabs>
        <w:tab w:val="left" w:pos="384"/>
      </w:tabs>
      <w:spacing w:after="240" w:line="240" w:lineRule="auto"/>
      <w:ind w:left="384" w:hanging="384"/>
    </w:pPr>
  </w:style>
  <w:style w:type="table" w:customStyle="1" w:styleId="PlainTable411">
    <w:name w:val="Plain Table 411"/>
    <w:basedOn w:val="TableNormal"/>
    <w:next w:val="TableNormal"/>
    <w:uiPriority w:val="44"/>
    <w:rsid w:val="00F646FB"/>
    <w:pPr>
      <w:spacing w:after="0" w:line="240" w:lineRule="auto"/>
      <w:jc w:val="left"/>
    </w:pPr>
    <w:rPr>
      <w:kern w:val="0"/>
      <w:sz w:val="22"/>
      <w:lang w:val="en-CA"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6762">
      <w:bodyDiv w:val="1"/>
      <w:marLeft w:val="0"/>
      <w:marRight w:val="0"/>
      <w:marTop w:val="0"/>
      <w:marBottom w:val="0"/>
      <w:divBdr>
        <w:top w:val="none" w:sz="0" w:space="0" w:color="auto"/>
        <w:left w:val="none" w:sz="0" w:space="0" w:color="auto"/>
        <w:bottom w:val="none" w:sz="0" w:space="0" w:color="auto"/>
        <w:right w:val="none" w:sz="0" w:space="0" w:color="auto"/>
      </w:divBdr>
    </w:div>
    <w:div w:id="57436872">
      <w:bodyDiv w:val="1"/>
      <w:marLeft w:val="0"/>
      <w:marRight w:val="0"/>
      <w:marTop w:val="0"/>
      <w:marBottom w:val="0"/>
      <w:divBdr>
        <w:top w:val="none" w:sz="0" w:space="0" w:color="auto"/>
        <w:left w:val="none" w:sz="0" w:space="0" w:color="auto"/>
        <w:bottom w:val="none" w:sz="0" w:space="0" w:color="auto"/>
        <w:right w:val="none" w:sz="0" w:space="0" w:color="auto"/>
      </w:divBdr>
    </w:div>
    <w:div w:id="767851301">
      <w:bodyDiv w:val="1"/>
      <w:marLeft w:val="0"/>
      <w:marRight w:val="0"/>
      <w:marTop w:val="0"/>
      <w:marBottom w:val="0"/>
      <w:divBdr>
        <w:top w:val="none" w:sz="0" w:space="0" w:color="auto"/>
        <w:left w:val="none" w:sz="0" w:space="0" w:color="auto"/>
        <w:bottom w:val="none" w:sz="0" w:space="0" w:color="auto"/>
        <w:right w:val="none" w:sz="0" w:space="0" w:color="auto"/>
      </w:divBdr>
    </w:div>
    <w:div w:id="845292240">
      <w:bodyDiv w:val="1"/>
      <w:marLeft w:val="0"/>
      <w:marRight w:val="0"/>
      <w:marTop w:val="0"/>
      <w:marBottom w:val="0"/>
      <w:divBdr>
        <w:top w:val="none" w:sz="0" w:space="0" w:color="auto"/>
        <w:left w:val="none" w:sz="0" w:space="0" w:color="auto"/>
        <w:bottom w:val="none" w:sz="0" w:space="0" w:color="auto"/>
        <w:right w:val="none" w:sz="0" w:space="0" w:color="auto"/>
      </w:divBdr>
    </w:div>
    <w:div w:id="1167865754">
      <w:bodyDiv w:val="1"/>
      <w:marLeft w:val="0"/>
      <w:marRight w:val="0"/>
      <w:marTop w:val="0"/>
      <w:marBottom w:val="0"/>
      <w:divBdr>
        <w:top w:val="none" w:sz="0" w:space="0" w:color="auto"/>
        <w:left w:val="none" w:sz="0" w:space="0" w:color="auto"/>
        <w:bottom w:val="none" w:sz="0" w:space="0" w:color="auto"/>
        <w:right w:val="none" w:sz="0" w:space="0" w:color="auto"/>
      </w:divBdr>
    </w:div>
    <w:div w:id="1202478641">
      <w:bodyDiv w:val="1"/>
      <w:marLeft w:val="0"/>
      <w:marRight w:val="0"/>
      <w:marTop w:val="0"/>
      <w:marBottom w:val="0"/>
      <w:divBdr>
        <w:top w:val="none" w:sz="0" w:space="0" w:color="auto"/>
        <w:left w:val="none" w:sz="0" w:space="0" w:color="auto"/>
        <w:bottom w:val="none" w:sz="0" w:space="0" w:color="auto"/>
        <w:right w:val="none" w:sz="0" w:space="0" w:color="auto"/>
      </w:divBdr>
    </w:div>
    <w:div w:id="12469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EDC3F-57DB-4398-ADA0-5915719C1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6020</Words>
  <Characters>34318</Characters>
  <Application>Microsoft Office Word</Application>
  <DocSecurity>0</DocSecurity>
  <Lines>285</Lines>
  <Paragraphs>80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c:creator>
  <cp:keywords/>
  <dc:description/>
  <cp:lastModifiedBy>Suresh kumar.S</cp:lastModifiedBy>
  <cp:revision>8</cp:revision>
  <dcterms:created xsi:type="dcterms:W3CDTF">2021-06-02T08:35:00Z</dcterms:created>
  <dcterms:modified xsi:type="dcterms:W3CDTF">2022-03-17T10:21:00Z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id="87qrla2k"/&gt;&lt;style id="http://www.zotero.org/styles/the-journal-of-bone-and-joint-surgery" hasBibliography="1" bibliographyStyleHasBeenSet="1"/&gt;&lt;prefs&gt;&lt;pref name="fieldType" value="Field"/&gt;&lt;pref</vt:lpwstr>
  </property>
  <property fmtid="{D5CDD505-2E9C-101B-9397-08002B2CF9AE}" pid="3" name="ZOTERO_PREF_2">
    <vt:lpwstr> name="automaticJournalAbbreviations" value="true"/&gt;&lt;/prefs&gt;&lt;/data&gt;</vt:lpwstr>
  </property>
</Properties>
</file>