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01A" w:rsidRPr="003602B4" w:rsidRDefault="009E501A" w:rsidP="009E501A">
      <w:pPr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Supplemental </w:t>
      </w:r>
      <w:r w:rsidRPr="003602B4">
        <w:rPr>
          <w:rFonts w:ascii="Times New Roman" w:hAnsi="Times New Roman" w:hint="eastAsia"/>
          <w:b/>
          <w:bCs/>
          <w:color w:val="000000" w:themeColor="text1"/>
        </w:rPr>
        <w:t xml:space="preserve">Table </w:t>
      </w:r>
      <w:r>
        <w:rPr>
          <w:rFonts w:ascii="Times New Roman" w:hAnsi="Times New Roman"/>
          <w:b/>
          <w:bCs/>
          <w:color w:val="000000" w:themeColor="text1"/>
        </w:rPr>
        <w:t>S1</w:t>
      </w:r>
      <w:r w:rsidRPr="003602B4">
        <w:rPr>
          <w:rFonts w:ascii="Times New Roman" w:hAnsi="Times New Roman" w:hint="eastAsia"/>
          <w:b/>
          <w:bCs/>
          <w:color w:val="000000" w:themeColor="text1"/>
        </w:rPr>
        <w:t>. Characteristics and baseline status of participants</w:t>
      </w:r>
      <w:r w:rsidRPr="003602B4">
        <w:rPr>
          <w:rFonts w:ascii="Times New Roman" w:hAnsi="Times New Roman"/>
          <w:b/>
          <w:bCs/>
          <w:color w:val="000000" w:themeColor="text1"/>
        </w:rPr>
        <w:t xml:space="preserve"> (</w:t>
      </w:r>
      <w:r w:rsidRPr="003602B4">
        <w:rPr>
          <w:rFonts w:ascii="Times New Roman" w:hAnsi="Times New Roman"/>
          <w:b/>
          <w:bCs/>
          <w:i/>
          <w:color w:val="000000" w:themeColor="text1"/>
        </w:rPr>
        <w:t xml:space="preserve">n </w:t>
      </w:r>
      <w:r w:rsidRPr="003602B4">
        <w:rPr>
          <w:rFonts w:ascii="Times New Roman" w:hAnsi="Times New Roman"/>
          <w:b/>
          <w:bCs/>
          <w:color w:val="000000" w:themeColor="text1"/>
        </w:rPr>
        <w:t>= 150)</w:t>
      </w:r>
    </w:p>
    <w:tbl>
      <w:tblPr>
        <w:tblStyle w:val="a5"/>
        <w:tblW w:w="826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3"/>
        <w:gridCol w:w="1388"/>
        <w:gridCol w:w="1255"/>
        <w:gridCol w:w="1227"/>
        <w:gridCol w:w="1043"/>
        <w:gridCol w:w="393"/>
      </w:tblGrid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Variable</w:t>
            </w:r>
          </w:p>
        </w:tc>
        <w:tc>
          <w:tcPr>
            <w:tcW w:w="13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Intervention group (</w:t>
            </w: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n 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 xml:space="preserve">=76) </w:t>
            </w:r>
          </w:p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>n</w:t>
            </w:r>
            <w:r w:rsidRPr="003602B4">
              <w:rPr>
                <w:rFonts w:ascii="Times New Roman" w:hAnsi="Times New Roman" w:hint="eastAsia"/>
                <w:i/>
                <w:color w:val="000000" w:themeColor="text1"/>
                <w:sz w:val="20"/>
              </w:rPr>
              <w:t xml:space="preserve"> 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(%)</w:t>
            </w: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/</w:t>
            </w:r>
            <w:r w:rsidRPr="003602B4">
              <w:rPr>
                <w:rFonts w:ascii="Times New Roman" w:hAnsi="Times New Roman" w:hint="eastAsia"/>
                <w:i/>
                <w:color w:val="000000" w:themeColor="text1"/>
                <w:sz w:val="20"/>
              </w:rPr>
              <w:t>X</w:t>
            </w: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±</w:t>
            </w:r>
            <w:r w:rsidRPr="003602B4">
              <w:rPr>
                <w:rFonts w:ascii="Times New Roman" w:hAnsi="Times New Roman" w:hint="eastAsia"/>
                <w:i/>
                <w:color w:val="000000" w:themeColor="text1"/>
                <w:sz w:val="20"/>
              </w:rPr>
              <w:t>S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Control group (</w:t>
            </w: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n 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=74)</w:t>
            </w:r>
          </w:p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>n</w:t>
            </w:r>
            <w:r w:rsidRPr="003602B4">
              <w:rPr>
                <w:rFonts w:ascii="Times New Roman" w:hAnsi="Times New Roman" w:hint="eastAsia"/>
                <w:i/>
                <w:color w:val="000000" w:themeColor="text1"/>
                <w:sz w:val="20"/>
              </w:rPr>
              <w:t xml:space="preserve"> 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(%)</w:t>
            </w: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/</w:t>
            </w:r>
            <w:r w:rsidRPr="003602B4">
              <w:rPr>
                <w:rFonts w:ascii="Times New Roman" w:hAnsi="Times New Roman" w:hint="eastAsia"/>
                <w:i/>
                <w:color w:val="000000" w:themeColor="text1"/>
                <w:sz w:val="20"/>
              </w:rPr>
              <w:t>X</w:t>
            </w: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±</w:t>
            </w:r>
            <w:r w:rsidRPr="003602B4">
              <w:rPr>
                <w:rFonts w:ascii="Times New Roman" w:hAnsi="Times New Roman" w:hint="eastAsia"/>
                <w:i/>
                <w:color w:val="000000" w:themeColor="text1"/>
                <w:sz w:val="20"/>
              </w:rPr>
              <w:t>S</w:t>
            </w:r>
          </w:p>
        </w:tc>
        <w:tc>
          <w:tcPr>
            <w:tcW w:w="12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i/>
                <w:color w:val="000000" w:themeColor="text1"/>
                <w:sz w:val="20"/>
                <w:vertAlign w:val="superscript"/>
              </w:rPr>
            </w:pP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>χ</w:t>
            </w:r>
            <w:r w:rsidRPr="003602B4">
              <w:rPr>
                <w:rFonts w:ascii="Times New Roman" w:hAnsi="Times New Roman"/>
                <w:i/>
                <w:color w:val="000000" w:themeColor="text1"/>
                <w:sz w:val="20"/>
                <w:vertAlign w:val="superscript"/>
              </w:rPr>
              <w:t>2</w:t>
            </w: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>/t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i/>
                <w:color w:val="000000" w:themeColor="text1"/>
                <w:sz w:val="20"/>
              </w:rPr>
              <w:t>P</w:t>
            </w: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Work status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9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.753</w:t>
            </w:r>
          </w:p>
        </w:tc>
        <w:tc>
          <w:tcPr>
            <w:tcW w:w="104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0.244</w:t>
            </w: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Unemployed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28 (36.8)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36 (48.6)</w:t>
            </w:r>
          </w:p>
        </w:tc>
        <w:tc>
          <w:tcPr>
            <w:tcW w:w="1227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Retired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23 (30.3)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18 (24.3)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Employed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25 (32.9)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20 (27.1)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Per capita monthly income (yuan)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8.528</w:t>
            </w:r>
          </w:p>
        </w:tc>
        <w:tc>
          <w:tcPr>
            <w:tcW w:w="104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0.126</w:t>
            </w: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&lt;1000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4 (5.3)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11 (14.9)</w:t>
            </w:r>
          </w:p>
        </w:tc>
        <w:tc>
          <w:tcPr>
            <w:tcW w:w="1227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1000–1999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8 (10.5)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14 (18.9)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2000–2999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30 (39.5)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19 (25.7)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3000–3999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18 (23.7)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15 (20.3)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&gt;4000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16 (21.0)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15 (20.3)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Health care payment type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7.424</w:t>
            </w:r>
          </w:p>
        </w:tc>
        <w:tc>
          <w:tcPr>
            <w:tcW w:w="104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0.087</w:t>
            </w: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Self-paying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 (3.9)</w:t>
            </w:r>
            <w:r w:rsidRPr="003602B4">
              <w:rPr>
                <w:rFonts w:ascii="Times New Roman" w:eastAsia="MS Mincho" w:hAnsi="Times New Roman" w:cs="MS Mincho" w:hint="eastAsia"/>
                <w:color w:val="000000" w:themeColor="text1"/>
                <w:sz w:val="20"/>
              </w:rPr>
              <w:t> 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5 (6.8)</w:t>
            </w:r>
          </w:p>
        </w:tc>
        <w:tc>
          <w:tcPr>
            <w:tcW w:w="1227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Free medical care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 (2.7)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New rural cooperative medical scheme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37 (48.7)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46 (62.2)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Urban medical insurance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30 (39.5)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19 (25.7)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gridAfter w:val="1"/>
          <w:wAfter w:w="393" w:type="dxa"/>
          <w:jc w:val="center"/>
        </w:trPr>
        <w:tc>
          <w:tcPr>
            <w:tcW w:w="2963" w:type="dxa"/>
            <w:tcBorders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Commercial insurance</w:t>
            </w:r>
          </w:p>
        </w:tc>
        <w:tc>
          <w:tcPr>
            <w:tcW w:w="1388" w:type="dxa"/>
            <w:tcBorders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6 (7.9)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 (2.6)</w:t>
            </w:r>
          </w:p>
        </w:tc>
        <w:tc>
          <w:tcPr>
            <w:tcW w:w="1227" w:type="dxa"/>
            <w:vMerge/>
            <w:tcBorders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043" w:type="dxa"/>
            <w:vMerge/>
            <w:tcBorders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Operative site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1.614</w:t>
            </w:r>
          </w:p>
        </w:tc>
        <w:tc>
          <w:tcPr>
            <w:tcW w:w="1436" w:type="dxa"/>
            <w:gridSpan w:val="2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0.446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Left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37 (48.7)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31 (41.9)</w:t>
            </w:r>
          </w:p>
        </w:tc>
        <w:tc>
          <w:tcPr>
            <w:tcW w:w="1227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Right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39 (51.3)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43 (58.1)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Prosthetic material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3.068</w:t>
            </w:r>
          </w:p>
        </w:tc>
        <w:tc>
          <w:tcPr>
            <w:tcW w:w="1436" w:type="dxa"/>
            <w:gridSpan w:val="2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0.216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Titanium alloy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2(2.7)</w:t>
            </w:r>
          </w:p>
        </w:tc>
        <w:tc>
          <w:tcPr>
            <w:tcW w:w="1227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Biological ceramics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56 (73.7)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58 (78.4)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Ultra-high molecular weight polyethylene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20 (26.3)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14 (18.9)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Preoperative complications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1.915</w:t>
            </w:r>
          </w:p>
        </w:tc>
        <w:tc>
          <w:tcPr>
            <w:tcW w:w="1436" w:type="dxa"/>
            <w:gridSpan w:val="2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0.384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None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23 (30.3)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23 (31.1)</w:t>
            </w:r>
          </w:p>
        </w:tc>
        <w:tc>
          <w:tcPr>
            <w:tcW w:w="1227" w:type="dxa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 w:val="restart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 xml:space="preserve">A </w:t>
            </w: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single 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complication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38 (50</w:t>
            </w: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.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30 (40.5)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Multiple complications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15 (19.7)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21 (28.4)</w:t>
            </w:r>
          </w:p>
        </w:tc>
        <w:tc>
          <w:tcPr>
            <w:tcW w:w="1227" w:type="dxa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Self-efficacy of rehabilitation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55.30 ± 6.09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55.20 ± 6.09</w:t>
            </w: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-0.073</w:t>
            </w:r>
          </w:p>
        </w:tc>
        <w:tc>
          <w:tcPr>
            <w:tcW w:w="1436" w:type="dxa"/>
            <w:gridSpan w:val="2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0.942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tcBorders>
              <w:top w:val="nil"/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Hip function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40.84 ± 8.29</w:t>
            </w:r>
          </w:p>
        </w:tc>
        <w:tc>
          <w:tcPr>
            <w:tcW w:w="1255" w:type="dxa"/>
            <w:tcBorders>
              <w:top w:val="nil"/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42.96 ± 7.57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1.213</w:t>
            </w:r>
          </w:p>
        </w:tc>
        <w:tc>
          <w:tcPr>
            <w:tcW w:w="1436" w:type="dxa"/>
            <w:gridSpan w:val="2"/>
            <w:tcBorders>
              <w:top w:val="nil"/>
              <w:bottom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0.228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tcBorders>
              <w:top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Activity and participation</w:t>
            </w:r>
          </w:p>
        </w:tc>
        <w:tc>
          <w:tcPr>
            <w:tcW w:w="1388" w:type="dxa"/>
            <w:tcBorders>
              <w:top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112.75 ± 11.17</w:t>
            </w:r>
          </w:p>
        </w:tc>
        <w:tc>
          <w:tcPr>
            <w:tcW w:w="1255" w:type="dxa"/>
            <w:tcBorders>
              <w:top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109.18 ± 12.08</w:t>
            </w:r>
          </w:p>
        </w:tc>
        <w:tc>
          <w:tcPr>
            <w:tcW w:w="1227" w:type="dxa"/>
            <w:tcBorders>
              <w:top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-1.804</w:t>
            </w:r>
          </w:p>
        </w:tc>
        <w:tc>
          <w:tcPr>
            <w:tcW w:w="1436" w:type="dxa"/>
            <w:gridSpan w:val="2"/>
            <w:tcBorders>
              <w:top w:val="nil"/>
            </w:tcBorders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0.075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Anxiety and depression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17.38 ± 3.93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18.25 ± 5.31</w:t>
            </w: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 w:hint="eastAsia"/>
                <w:color w:val="000000" w:themeColor="text1"/>
                <w:sz w:val="20"/>
              </w:rPr>
              <w:t>-</w:t>
            </w: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0.867</w:t>
            </w:r>
          </w:p>
        </w:tc>
        <w:tc>
          <w:tcPr>
            <w:tcW w:w="1436" w:type="dxa"/>
            <w:gridSpan w:val="2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0.389</w:t>
            </w:r>
          </w:p>
        </w:tc>
      </w:tr>
      <w:tr w:rsidR="009E501A" w:rsidRPr="003602B4" w:rsidTr="003C6DC5">
        <w:trPr>
          <w:jc w:val="center"/>
        </w:trPr>
        <w:tc>
          <w:tcPr>
            <w:tcW w:w="2963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Quality of life</w:t>
            </w:r>
          </w:p>
        </w:tc>
        <w:tc>
          <w:tcPr>
            <w:tcW w:w="1388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24.27 ± 2.89</w:t>
            </w:r>
          </w:p>
        </w:tc>
        <w:tc>
          <w:tcPr>
            <w:tcW w:w="1255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24.60 ± 2.40</w:t>
            </w:r>
          </w:p>
        </w:tc>
        <w:tc>
          <w:tcPr>
            <w:tcW w:w="1227" w:type="dxa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0.565</w:t>
            </w:r>
          </w:p>
        </w:tc>
        <w:tc>
          <w:tcPr>
            <w:tcW w:w="1436" w:type="dxa"/>
            <w:gridSpan w:val="2"/>
            <w:vAlign w:val="center"/>
          </w:tcPr>
          <w:p w:rsidR="009E501A" w:rsidRPr="003602B4" w:rsidRDefault="009E501A" w:rsidP="003C6DC5">
            <w:pPr>
              <w:rPr>
                <w:rFonts w:ascii="Times New Roman" w:hAnsi="Times New Roman"/>
                <w:color w:val="000000" w:themeColor="text1"/>
              </w:rPr>
            </w:pPr>
            <w:r w:rsidRPr="003602B4">
              <w:rPr>
                <w:rFonts w:ascii="Times New Roman" w:hAnsi="Times New Roman"/>
                <w:color w:val="000000" w:themeColor="text1"/>
                <w:sz w:val="20"/>
              </w:rPr>
              <w:t>0.573</w:t>
            </w:r>
          </w:p>
        </w:tc>
      </w:tr>
    </w:tbl>
    <w:p w:rsidR="009E501A" w:rsidRPr="003602B4" w:rsidRDefault="009E501A" w:rsidP="009E501A">
      <w:pPr>
        <w:jc w:val="both"/>
        <w:rPr>
          <w:rFonts w:ascii="Times New Roman" w:hAnsi="Times New Roman"/>
          <w:b/>
          <w:bCs/>
          <w:color w:val="000000" w:themeColor="text1"/>
          <w:szCs w:val="28"/>
        </w:rPr>
      </w:pPr>
    </w:p>
    <w:p w:rsidR="009057C6" w:rsidRDefault="009E501A">
      <w:bookmarkStart w:id="0" w:name="_GoBack"/>
      <w:bookmarkEnd w:id="0"/>
    </w:p>
    <w:sectPr w:rsidR="009057C6" w:rsidSect="0063716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(Body CS)">
    <w:altName w:val="DengXian"/>
    <w:panose1 w:val="020B0604020202020204"/>
    <w:charset w:val="86"/>
    <w:family w:val="auto"/>
    <w:pitch w:val="variable"/>
    <w:sig w:usb0="00000000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1A"/>
    <w:rsid w:val="00005915"/>
    <w:rsid w:val="000F54EF"/>
    <w:rsid w:val="001A3C33"/>
    <w:rsid w:val="003A2E8C"/>
    <w:rsid w:val="003C7E88"/>
    <w:rsid w:val="00492EAF"/>
    <w:rsid w:val="004C41AF"/>
    <w:rsid w:val="00502B87"/>
    <w:rsid w:val="005455F9"/>
    <w:rsid w:val="005C5EAB"/>
    <w:rsid w:val="00623C8E"/>
    <w:rsid w:val="0063716B"/>
    <w:rsid w:val="0070053A"/>
    <w:rsid w:val="00775D85"/>
    <w:rsid w:val="00792728"/>
    <w:rsid w:val="00851445"/>
    <w:rsid w:val="00906D3C"/>
    <w:rsid w:val="009E501A"/>
    <w:rsid w:val="00BE11C9"/>
    <w:rsid w:val="00BF20C1"/>
    <w:rsid w:val="00D55662"/>
    <w:rsid w:val="00D64AE7"/>
    <w:rsid w:val="00D71CC7"/>
    <w:rsid w:val="00D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378AD2-9F26-BF45-80AC-E98CD5E7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501A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CC7"/>
    <w:pPr>
      <w:widowControl w:val="0"/>
      <w:jc w:val="both"/>
    </w:pPr>
    <w:rPr>
      <w:rFonts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71CC7"/>
    <w:rPr>
      <w:rFonts w:ascii="宋体" w:eastAsia="宋体"/>
      <w:sz w:val="18"/>
      <w:szCs w:val="18"/>
    </w:rPr>
  </w:style>
  <w:style w:type="table" w:styleId="a5">
    <w:name w:val="Table Grid"/>
    <w:basedOn w:val="a1"/>
    <w:qFormat/>
    <w:rsid w:val="009E501A"/>
    <w:pPr>
      <w:widowControl w:val="0"/>
      <w:jc w:val="both"/>
    </w:pPr>
    <w:rPr>
      <w:rFonts w:ascii="Arial" w:hAnsi="Arial" w:cs="DengXian (Body CS)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孟亚</dc:creator>
  <cp:keywords/>
  <dc:description/>
  <cp:lastModifiedBy>孟亚</cp:lastModifiedBy>
  <cp:revision>1</cp:revision>
  <dcterms:created xsi:type="dcterms:W3CDTF">2021-11-24T14:48:00Z</dcterms:created>
  <dcterms:modified xsi:type="dcterms:W3CDTF">2021-11-24T14:48:00Z</dcterms:modified>
</cp:coreProperties>
</file>