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3C1B9E" w14:textId="7661375C" w:rsidR="00F50A16" w:rsidRDefault="001A27D6">
      <w:bookmarkStart w:id="0" w:name="_GoBack"/>
      <w:r>
        <w:rPr>
          <w:noProof/>
          <w:lang w:val="en-IN" w:eastAsia="en-IN"/>
        </w:rPr>
        <w:drawing>
          <wp:inline distT="0" distB="0" distL="0" distR="0" wp14:anchorId="4D232D36" wp14:editId="06ECEC08">
            <wp:extent cx="5273040" cy="5090160"/>
            <wp:effectExtent l="0" t="0" r="0" b="0"/>
            <wp:docPr id="89944561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66E0A" w14:textId="77777777" w:rsidR="004648DB" w:rsidRDefault="004648DB" w:rsidP="004648D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E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2F2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ig.S1 GO and KEGG enrichment analysis of DEGs. </w:t>
      </w:r>
      <w:r w:rsidRPr="00140E7B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464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140E7B">
        <w:rPr>
          <w:rFonts w:ascii="Times New Roman" w:hAnsi="Times New Roman" w:cs="Times New Roman"/>
          <w:color w:val="000000" w:themeColor="text1"/>
          <w:sz w:val="24"/>
          <w:szCs w:val="24"/>
        </w:rPr>
        <w:t>) The top 10 GO</w:t>
      </w:r>
      <w:r w:rsidRPr="00EC6D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terms</w:t>
      </w:r>
      <w:r w:rsidRPr="00140E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biological processes, cellular components, and molecular functions. (</w:t>
      </w:r>
      <w:r w:rsidRPr="004648D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140E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KEGG enrichment analysis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DEG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1B0C12" w14:textId="27002C01" w:rsidR="00975665" w:rsidRDefault="00280FD1" w:rsidP="004648D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57890533" wp14:editId="141BA846">
            <wp:extent cx="5273040" cy="1249680"/>
            <wp:effectExtent l="0" t="0" r="0" b="0"/>
            <wp:docPr id="183839344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88B8C" w14:textId="42146A3E" w:rsidR="00BE7EEF" w:rsidRPr="00694646" w:rsidRDefault="00975665" w:rsidP="00BE7EEF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2E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Pr="002F2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ig.S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 </w:t>
      </w:r>
      <w:r w:rsidRPr="005B25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fasting blood glucose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(A)</w:t>
      </w:r>
      <w:r w:rsidRPr="00D876E2">
        <w:t xml:space="preserve"> </w:t>
      </w:r>
      <w:r w:rsidRPr="00D876E2">
        <w:rPr>
          <w:rFonts w:ascii="Times New Roman" w:hAnsi="Times New Roman" w:cs="Times New Roman"/>
          <w:b/>
          <w:bCs/>
          <w:sz w:val="24"/>
          <w:szCs w:val="28"/>
        </w:rPr>
        <w:t>and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D876E2">
        <w:rPr>
          <w:rFonts w:ascii="Times New Roman" w:hAnsi="Times New Roman" w:cs="Times New Roman"/>
          <w:b/>
          <w:bCs/>
          <w:sz w:val="24"/>
          <w:szCs w:val="28"/>
        </w:rPr>
        <w:t>body</w:t>
      </w:r>
      <w:r w:rsidRPr="00D876E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weight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(B)</w:t>
      </w:r>
      <w:r w:rsidRPr="005B25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were measured every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5B25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weeks.</w:t>
      </w:r>
      <w:r w:rsidRPr="00EF5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***</w:t>
      </w:r>
      <w:r w:rsidRPr="00904CD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A151B7">
        <w:rPr>
          <w:rFonts w:ascii="Times New Roman" w:hAnsi="Times New Roman" w:cs="Times New Roman"/>
          <w:color w:val="000000" w:themeColor="text1"/>
          <w:sz w:val="24"/>
          <w:szCs w:val="24"/>
        </w:rPr>
        <w:t>&lt;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A151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vs.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 group.</w:t>
      </w:r>
      <w:bookmarkStart w:id="1" w:name="_Hlk156555396"/>
    </w:p>
    <w:p w14:paraId="299D5E6F" w14:textId="52D295F4" w:rsidR="00BE7EEF" w:rsidRDefault="00694646" w:rsidP="00BE7EE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24"/>
          <w:lang w:val="en-IN" w:eastAsia="en-IN"/>
        </w:rPr>
        <w:lastRenderedPageBreak/>
        <w:drawing>
          <wp:inline distT="0" distB="0" distL="0" distR="0" wp14:anchorId="195DE70D" wp14:editId="16EC058C">
            <wp:extent cx="5273040" cy="3779520"/>
            <wp:effectExtent l="0" t="0" r="0" b="0"/>
            <wp:docPr id="198298573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EEF" w:rsidRPr="002F2E45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</w:t>
      </w:r>
      <w:r w:rsidR="00BE7EEF" w:rsidRPr="002F2E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ig.S</w:t>
      </w:r>
      <w:bookmarkEnd w:id="1"/>
      <w:r w:rsidR="00BE7E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BE7EEF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High glucose (HG) activated the ferroptosis of MCST3-E1 cells.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MC3T3-E1 cells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were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cultured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with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various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glucose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concentrations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(5.5,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11,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22,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or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33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mM).</w:t>
      </w:r>
      <w:r w:rsidR="00BE7EEF" w:rsidRPr="009B1761">
        <w:rPr>
          <w:rFonts w:ascii="Times New Roman" w:eastAsia="Times New Roman" w:hAnsi="Times New Roman" w:cs="Times New Roman"/>
          <w:bCs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9B17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(</w:t>
      </w:r>
      <w:r w:rsidR="00BE7EEF" w:rsidRPr="002A6E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A</w:t>
      </w:r>
      <w:r w:rsidR="00BE7EEF" w:rsidRPr="009B17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)</w:t>
      </w:r>
      <w:r w:rsidR="00BE7EEF" w:rsidRPr="0088293E">
        <w:rPr>
          <w:rFonts w:ascii="Times New Roman" w:eastAsia="Times New Roman" w:hAnsi="Times New Roman" w:cs="Times New Roman"/>
          <w:b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Cell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viability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was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measured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using CCK8.</w:t>
      </w:r>
      <w:r w:rsidR="00BE7EEF" w:rsidRPr="009B1761">
        <w:rPr>
          <w:rFonts w:ascii="Times New Roman" w:eastAsia="Times New Roman" w:hAnsi="Times New Roman" w:cs="Times New Roman"/>
          <w:bCs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9B17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(</w:t>
      </w:r>
      <w:r w:rsidR="00BE7EEF" w:rsidRPr="002A6E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B-C</w:t>
      </w:r>
      <w:r w:rsidR="00BE7EEF" w:rsidRPr="009B17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)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Relative protein levels of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GPX4,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5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SLC7A11,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4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and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FTH.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4"/>
          <w:kern w:val="0"/>
          <w:sz w:val="24"/>
          <w:szCs w:val="24"/>
          <w:lang w:eastAsia="en-US"/>
        </w:rPr>
        <w:t xml:space="preserve"> </w:t>
      </w:r>
      <w:r w:rsidR="00BE7EEF" w:rsidRPr="00E10A2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(</w:t>
      </w:r>
      <w:r w:rsidR="00BE7EEF" w:rsidRPr="002A6E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D</w:t>
      </w:r>
      <w:r w:rsidR="00BE7EEF" w:rsidRPr="00E10A2D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)</w:t>
      </w:r>
      <w:r w:rsidR="00BE7EEF" w:rsidRPr="00E10A2D">
        <w:t xml:space="preserve"> </w:t>
      </w:r>
      <w:r w:rsidR="00BE7EEF" w:rsidRPr="00E10A2D">
        <w:rPr>
          <w:rFonts w:ascii="Times New Roman" w:eastAsia="Times New Roman" w:hAnsi="Times New Roman" w:cs="Times New Roman"/>
          <w:bCs/>
          <w:color w:val="000000" w:themeColor="text1"/>
          <w:spacing w:val="-7"/>
          <w:kern w:val="0"/>
          <w:sz w:val="24"/>
          <w:szCs w:val="24"/>
          <w:lang w:eastAsia="en-US"/>
        </w:rPr>
        <w:t xml:space="preserve">Representative images of the DCFH-DA staining (scale: 100μm) and C11-BODIPY staining (scale bar: 100μm) images.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Red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images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0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"/>
          <w:kern w:val="0"/>
          <w:sz w:val="24"/>
          <w:szCs w:val="24"/>
          <w:lang w:eastAsia="en-US"/>
        </w:rPr>
        <w:t>represented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nonoxidized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lipids,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while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green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0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images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represented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0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oxidized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0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lipids.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4"/>
          <w:szCs w:val="24"/>
          <w:lang w:eastAsia="en-US"/>
        </w:rPr>
        <w:t xml:space="preserve"> </w:t>
      </w:r>
      <w:r w:rsidR="00BE7EEF" w:rsidRPr="0033201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(</w:t>
      </w:r>
      <w:r w:rsidR="00BE7EEF" w:rsidRPr="002A6E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E</w:t>
      </w:r>
      <w:r w:rsidR="00BE7EEF" w:rsidRPr="0033201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)</w:t>
      </w:r>
      <w:r w:rsidR="00BE7EEF" w:rsidRPr="0088293E">
        <w:rPr>
          <w:rFonts w:ascii="Times New Roman" w:eastAsia="Times New Roman" w:hAnsi="Times New Roman" w:cs="Times New Roman"/>
          <w:b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GSH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10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levels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spacing w:val="-9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and</w:t>
      </w:r>
      <w:r w:rsidR="00BE7EEF" w:rsidRPr="0088293E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BE7EEF" w:rsidRPr="0033201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(</w:t>
      </w:r>
      <w:r w:rsidR="00BE7EEF" w:rsidRPr="002A6E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F</w:t>
      </w:r>
      <w:r w:rsidR="00BE7EEF" w:rsidRPr="0033201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)</w:t>
      </w:r>
      <w:r w:rsidR="00BE7EEF" w:rsidRPr="0088293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MDA contents. *</w:t>
      </w:r>
      <w:r w:rsidR="00BE7EEF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P</w:t>
      </w:r>
      <w:r w:rsidR="00BE7EEF" w:rsidRPr="0088293E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&lt; 0.05, **</w:t>
      </w:r>
      <w:r w:rsidR="00BE7EEF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P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&lt; 0.01, ***</w:t>
      </w:r>
      <w:r w:rsidR="00BE7EEF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P</w:t>
      </w:r>
      <w:r w:rsidR="00BE7EEF" w:rsidRPr="0088293E"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 xml:space="preserve"> </w:t>
      </w:r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&lt; 0.001</w:t>
      </w:r>
      <w:r w:rsidR="00BE7EEF" w:rsidRPr="00886933">
        <w:t xml:space="preserve"> </w:t>
      </w:r>
      <w:bookmarkStart w:id="2" w:name="_Hlk156555512"/>
      <w:r w:rsidR="00BE7EEF" w:rsidRPr="0088693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vs. the 5.5mm group</w:t>
      </w:r>
      <w:bookmarkEnd w:id="2"/>
      <w:r w:rsidR="00BE7EEF"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.</w:t>
      </w:r>
    </w:p>
    <w:p w14:paraId="08F85E42" w14:textId="46D5FECF" w:rsidR="001D087E" w:rsidRDefault="001D087E" w:rsidP="00BE7EE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0"/>
          <w:sz w:val="24"/>
          <w:szCs w:val="24"/>
          <w:lang w:val="en-IN" w:eastAsia="en-IN"/>
        </w:rPr>
        <w:drawing>
          <wp:inline distT="0" distB="0" distL="0" distR="0" wp14:anchorId="75610FD4" wp14:editId="33044BA0">
            <wp:extent cx="5267325" cy="1426845"/>
            <wp:effectExtent l="0" t="0" r="0" b="0"/>
            <wp:docPr id="1082816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2A8F84" w14:textId="096169E6" w:rsidR="001D087E" w:rsidRPr="00C81E61" w:rsidRDefault="001D087E" w:rsidP="001D087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>Fig.S</w:t>
      </w:r>
      <w:r w:rsidR="00DC7C23"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>4</w:t>
      </w:r>
      <w:r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 xml:space="preserve">Transfection efficiency was verified after transfection of the FNDC5 </w:t>
      </w:r>
      <w:r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lastRenderedPageBreak/>
        <w:t xml:space="preserve">overexpression plasmid. </w:t>
      </w:r>
      <w:r w:rsidRPr="005A505E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(</w:t>
      </w:r>
      <w:r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>A</w:t>
      </w:r>
      <w:r w:rsidRPr="005A505E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)</w:t>
      </w:r>
      <w:r w:rsidR="00420B70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 xml:space="preserve"> </w:t>
      </w:r>
      <w:r w:rsidRPr="005A505E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Relative mRNA expression of FNDC5. (</w:t>
      </w:r>
      <w:r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>B-C</w:t>
      </w:r>
      <w:r w:rsidRPr="005A505E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) Relative protein level of FNDC5. OE-NC means negative control, and OE-FNDC5 means overexpression of FNDC5. *</w:t>
      </w:r>
      <w:r w:rsidRPr="005A505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lightGray"/>
        </w:rPr>
        <w:t xml:space="preserve">P </w:t>
      </w:r>
      <w:r w:rsidRPr="005A505E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>&lt; 0.05, ***</w:t>
      </w:r>
      <w:r w:rsidRPr="005A505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highlight w:val="lightGray"/>
        </w:rPr>
        <w:t>P</w:t>
      </w:r>
      <w:r w:rsidRPr="005A505E">
        <w:rPr>
          <w:rFonts w:ascii="Times New Roman" w:hAnsi="Times New Roman" w:cs="Times New Roman"/>
          <w:color w:val="000000" w:themeColor="text1"/>
          <w:sz w:val="24"/>
          <w:szCs w:val="24"/>
          <w:highlight w:val="lightGray"/>
        </w:rPr>
        <w:t xml:space="preserve"> &lt; 0.001 vs. the con group.</w:t>
      </w:r>
    </w:p>
    <w:p w14:paraId="201BA610" w14:textId="77777777" w:rsidR="001D087E" w:rsidRDefault="001D087E" w:rsidP="00BE7EE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</w:p>
    <w:p w14:paraId="43FF0631" w14:textId="42C100D8" w:rsidR="00BE7EEF" w:rsidRPr="00BE7EEF" w:rsidRDefault="00694646" w:rsidP="0097566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color w:val="000000" w:themeColor="text1"/>
          <w:sz w:val="24"/>
          <w:szCs w:val="24"/>
          <w:lang w:val="en-IN" w:eastAsia="en-IN"/>
        </w:rPr>
        <w:drawing>
          <wp:inline distT="0" distB="0" distL="0" distR="0" wp14:anchorId="48938AA3" wp14:editId="014A3551">
            <wp:extent cx="5273040" cy="2918460"/>
            <wp:effectExtent l="0" t="0" r="0" b="0"/>
            <wp:docPr id="61341888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79999" w14:textId="79284696" w:rsidR="00FA2999" w:rsidRDefault="00FA2999" w:rsidP="00FA2999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>Fig.S</w:t>
      </w:r>
      <w:r w:rsidR="00E54588" w:rsidRPr="005A50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lightGray"/>
        </w:rPr>
        <w:t>5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88293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HG activated </w:t>
      </w:r>
      <w:r w:rsidRPr="00FD3B0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the eIF2α-ATF4-CHOP pathway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6172D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and</w:t>
      </w:r>
      <w:r w:rsidRPr="006172D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 GSK </w:t>
      </w:r>
      <w:r w:rsidRPr="006172D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treatment</w:t>
      </w:r>
      <w:r w:rsidRPr="006172D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6172D6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inhibited</w:t>
      </w:r>
      <w:r w:rsidRPr="006172D6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 the eIF2α-ATF4-CHOP pathway.</w:t>
      </w:r>
      <w:r w:rsidRPr="0088293E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9B17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(</w:t>
      </w:r>
      <w:r w:rsidRPr="002A6E89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eastAsia="en-US"/>
        </w:rPr>
        <w:t>A-B</w:t>
      </w:r>
      <w:r w:rsidRPr="009B1761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eastAsia="en-US"/>
        </w:rPr>
        <w:t>)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Relative protein levels of p-eIF2a, ATF4, and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CHOP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in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MC3T3-E1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cells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cultured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with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various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glucose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7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concentrations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8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(5.5,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7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11,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8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22,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7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or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8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33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-45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mM).</w:t>
      </w:r>
      <w:bookmarkStart w:id="3" w:name="_Hlk156571567"/>
      <w:r w:rsidRPr="0088293E">
        <w:rPr>
          <w:rFonts w:ascii="Times New Roman" w:eastAsia="Times New Roman" w:hAnsi="Times New Roman" w:cs="Times New Roman"/>
          <w:color w:val="000000" w:themeColor="text1"/>
          <w:spacing w:val="24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*</w:t>
      </w:r>
      <w:r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P</w:t>
      </w:r>
      <w:r w:rsidRPr="0088293E">
        <w:rPr>
          <w:rFonts w:ascii="Times New Roman" w:eastAsia="Times New Roman" w:hAnsi="Times New Roman" w:cs="Times New Roman"/>
          <w:i/>
          <w:color w:val="000000" w:themeColor="text1"/>
          <w:spacing w:val="22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2"/>
          <w:kern w:val="0"/>
          <w:sz w:val="24"/>
          <w:szCs w:val="24"/>
          <w:lang w:eastAsia="en-US"/>
        </w:rPr>
        <w:t xml:space="preserve">&lt;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0.05,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24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**</w:t>
      </w:r>
      <w:r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P</w:t>
      </w:r>
      <w:r w:rsidRPr="0088293E">
        <w:rPr>
          <w:rFonts w:ascii="Times New Roman" w:eastAsia="Times New Roman" w:hAnsi="Times New Roman" w:cs="Times New Roman"/>
          <w:i/>
          <w:color w:val="000000" w:themeColor="text1"/>
          <w:spacing w:val="22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2"/>
          <w:kern w:val="0"/>
          <w:sz w:val="24"/>
          <w:szCs w:val="24"/>
          <w:lang w:eastAsia="en-US"/>
        </w:rPr>
        <w:t xml:space="preserve">&lt;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0.01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,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4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**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*</w:t>
      </w:r>
      <w:r>
        <w:rPr>
          <w:rFonts w:ascii="Times New Roman" w:eastAsia="Times New Roman" w:hAnsi="Times New Roman" w:cs="Times New Roman"/>
          <w:i/>
          <w:color w:val="000000" w:themeColor="text1"/>
          <w:kern w:val="0"/>
          <w:sz w:val="24"/>
          <w:szCs w:val="24"/>
          <w:lang w:eastAsia="en-US"/>
        </w:rPr>
        <w:t>P</w:t>
      </w:r>
      <w:r w:rsidRPr="0088293E">
        <w:rPr>
          <w:rFonts w:ascii="Times New Roman" w:eastAsia="Times New Roman" w:hAnsi="Times New Roman" w:cs="Times New Roman"/>
          <w:i/>
          <w:color w:val="000000" w:themeColor="text1"/>
          <w:spacing w:val="22"/>
          <w:kern w:val="0"/>
          <w:sz w:val="24"/>
          <w:szCs w:val="24"/>
          <w:lang w:eastAsia="en-US"/>
        </w:rPr>
        <w:t xml:space="preserve"> </w:t>
      </w:r>
      <w:r w:rsidRPr="0088293E">
        <w:rPr>
          <w:rFonts w:ascii="Times New Roman" w:eastAsia="Times New Roman" w:hAnsi="Times New Roman" w:cs="Times New Roman"/>
          <w:color w:val="000000" w:themeColor="text1"/>
          <w:spacing w:val="12"/>
          <w:kern w:val="0"/>
          <w:sz w:val="24"/>
          <w:szCs w:val="24"/>
          <w:lang w:eastAsia="en-US"/>
        </w:rPr>
        <w:t xml:space="preserve">&lt; 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0.0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0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1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6172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vs. the 5.5mm group</w:t>
      </w:r>
      <w:r w:rsidRPr="0088293E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>.</w:t>
      </w:r>
      <w:bookmarkEnd w:id="3"/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  <w:t xml:space="preserve"> </w:t>
      </w:r>
      <w:r w:rsidRPr="006172D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(</w:t>
      </w:r>
      <w:r w:rsidRPr="002A6E89">
        <w:rPr>
          <w:rFonts w:ascii="Times New Roman" w:eastAsia="SimSun" w:hAnsi="Times New Roman" w:cs="Times New Roman"/>
          <w:b/>
          <w:bCs/>
          <w:color w:val="000000" w:themeColor="text1"/>
          <w:kern w:val="0"/>
          <w:sz w:val="24"/>
          <w:szCs w:val="24"/>
        </w:rPr>
        <w:t>C-D</w:t>
      </w:r>
      <w:r w:rsidRPr="006172D6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)</w:t>
      </w:r>
      <w:r w:rsidRPr="00D017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838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Relative protein levels s of p-eIF2a, ATF4, and CHOP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C5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MC3T3-E1 cells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treated</w:t>
      </w:r>
      <w:r w:rsidRPr="00EC5E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7339">
        <w:rPr>
          <w:rFonts w:ascii="Times New Roman" w:hAnsi="Times New Roman" w:cs="Times New Roman"/>
          <w:color w:val="000000" w:themeColor="text1"/>
          <w:sz w:val="24"/>
          <w:szCs w:val="24"/>
        </w:rPr>
        <w:t>or without GSK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6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*</w:t>
      </w:r>
      <w:r w:rsidRPr="00076F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 w:rsidRPr="00B67339">
        <w:rPr>
          <w:rFonts w:ascii="Times New Roman" w:hAnsi="Times New Roman" w:cs="Times New Roman"/>
          <w:color w:val="000000" w:themeColor="text1"/>
          <w:sz w:val="24"/>
          <w:szCs w:val="24"/>
        </w:rPr>
        <w:t>&lt; 0.05, ***</w:t>
      </w:r>
      <w:r w:rsidRPr="00076F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B6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0.001 vs.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</w:t>
      </w:r>
      <w:r w:rsidRPr="00B673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group.</w:t>
      </w:r>
      <w:r w:rsidRPr="00076F6B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482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482B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482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5,</w:t>
      </w:r>
      <w:r w:rsidRPr="00D04B5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Pr="00482B9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##</w:t>
      </w:r>
      <w:r w:rsidRPr="00482B96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 w:rsidRPr="00482B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 0.0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0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vs. the HG group.</w:t>
      </w:r>
    </w:p>
    <w:p w14:paraId="12E0CB38" w14:textId="1928E4E0" w:rsidR="00FA2999" w:rsidRDefault="00FA2999"/>
    <w:bookmarkEnd w:id="0"/>
    <w:p w14:paraId="2EF41905" w14:textId="77777777" w:rsidR="002A6E89" w:rsidRPr="00FA2999" w:rsidRDefault="002A6E89"/>
    <w:sectPr w:rsidR="002A6E89" w:rsidRPr="00FA2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08E0F" w14:textId="77777777" w:rsidR="00591BFD" w:rsidRDefault="00591BFD" w:rsidP="00DC37FD">
      <w:r>
        <w:separator/>
      </w:r>
    </w:p>
  </w:endnote>
  <w:endnote w:type="continuationSeparator" w:id="0">
    <w:p w14:paraId="2E1229C4" w14:textId="77777777" w:rsidR="00591BFD" w:rsidRDefault="00591BFD" w:rsidP="00DC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EFD10" w14:textId="77777777" w:rsidR="00591BFD" w:rsidRDefault="00591BFD" w:rsidP="00DC37FD">
      <w:r>
        <w:separator/>
      </w:r>
    </w:p>
  </w:footnote>
  <w:footnote w:type="continuationSeparator" w:id="0">
    <w:p w14:paraId="23D8489F" w14:textId="77777777" w:rsidR="00591BFD" w:rsidRDefault="00591BFD" w:rsidP="00DC3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TAyMDIzs7A0MzS1sDRV0lEKTi0uzszPAykwqQUAcMPutywAAAA="/>
    <w:docVar w:name="KY_MEDREF_DOCUID" w:val="{1847D7B1-6FCE-4036-89D4-4BC921888A09}"/>
    <w:docVar w:name="KY_MEDREF_VERSION" w:val="3"/>
  </w:docVars>
  <w:rsids>
    <w:rsidRoot w:val="00FC7786"/>
    <w:rsid w:val="00192BEF"/>
    <w:rsid w:val="001A27D6"/>
    <w:rsid w:val="001A6FC3"/>
    <w:rsid w:val="001D087E"/>
    <w:rsid w:val="00280FD1"/>
    <w:rsid w:val="002A6E89"/>
    <w:rsid w:val="00420B70"/>
    <w:rsid w:val="004648DB"/>
    <w:rsid w:val="004C0E4B"/>
    <w:rsid w:val="00591BFD"/>
    <w:rsid w:val="005A505E"/>
    <w:rsid w:val="00694646"/>
    <w:rsid w:val="0081247E"/>
    <w:rsid w:val="00975665"/>
    <w:rsid w:val="00BE7EEF"/>
    <w:rsid w:val="00DC37FD"/>
    <w:rsid w:val="00DC7C23"/>
    <w:rsid w:val="00E54588"/>
    <w:rsid w:val="00F50A16"/>
    <w:rsid w:val="00FA2999"/>
    <w:rsid w:val="00FC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F210E9"/>
  <w15:chartTrackingRefBased/>
  <w15:docId w15:val="{3F57565D-02E6-4495-99E3-3F438898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37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C37F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C3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C37FD"/>
    <w:rPr>
      <w:sz w:val="18"/>
      <w:szCs w:val="18"/>
    </w:rPr>
  </w:style>
  <w:style w:type="paragraph" w:styleId="Revision">
    <w:name w:val="Revision"/>
    <w:hidden/>
    <w:uiPriority w:val="99"/>
    <w:semiHidden/>
    <w:rsid w:val="001D087E"/>
  </w:style>
  <w:style w:type="paragraph" w:styleId="BalloonText">
    <w:name w:val="Balloon Text"/>
    <w:basedOn w:val="Normal"/>
    <w:link w:val="BalloonTextChar"/>
    <w:uiPriority w:val="99"/>
    <w:semiHidden/>
    <w:unhideWhenUsed/>
    <w:rsid w:val="005A50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han</dc:creator>
  <cp:keywords/>
  <dc:description/>
  <cp:lastModifiedBy>Deepana B</cp:lastModifiedBy>
  <cp:revision>18</cp:revision>
  <dcterms:created xsi:type="dcterms:W3CDTF">2024-01-20T05:37:00Z</dcterms:created>
  <dcterms:modified xsi:type="dcterms:W3CDTF">2024-03-27T09:29:00Z</dcterms:modified>
</cp:coreProperties>
</file>