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widowControl/>
        <w:spacing w:line="480" w:lineRule="auto"/>
        <w:jc w:val="center"/>
        <w:rPr>
          <w:rFonts w:ascii="Times New Roman Regular" w:hAnsi="Times New Roman Regular" w:cs="Times New Roman Regular"/>
          <w:b/>
          <w:bCs/>
          <w:sz w:val="20"/>
          <w:szCs w:val="20"/>
          <w:lang w:eastAsia="zh-Hans"/>
        </w:rPr>
      </w:pPr>
      <w:r>
        <w:rPr>
          <w:rFonts w:ascii="Times New Roman Regular" w:hAnsi="Times New Roman Regular" w:cs="Times New Roman Regular"/>
          <w:b/>
          <w:bCs/>
          <w:sz w:val="20"/>
          <w:szCs w:val="20"/>
          <w:lang w:eastAsia="zh-Hans"/>
        </w:rPr>
        <w:t xml:space="preserve"> Effect of knee extension constraint training on walking biomechanics 6 months after anterior cruciate ligament reconstruction: A</w:t>
      </w:r>
      <w:r>
        <w:rPr>
          <w:rFonts w:hint="eastAsia" w:ascii="Times New Roman Regular" w:hAnsi="Times New Roman Regular" w:cs="Times New Roman Regular"/>
          <w:b/>
          <w:bCs/>
          <w:sz w:val="20"/>
          <w:szCs w:val="20"/>
        </w:rPr>
        <w:t xml:space="preserve"> </w:t>
      </w:r>
      <w:r>
        <w:rPr>
          <w:rFonts w:ascii="Times New Roman Regular" w:hAnsi="Times New Roman Regular" w:cs="Times New Roman Regular"/>
          <w:b/>
          <w:bCs/>
          <w:sz w:val="20"/>
          <w:szCs w:val="20"/>
          <w:lang w:eastAsia="zh-Hans"/>
        </w:rPr>
        <w:t>Double-Blind Randomized Controlled Clinical Trial</w:t>
      </w:r>
    </w:p>
    <w:p>
      <w:pPr>
        <w:widowControl/>
        <w:spacing w:line="480" w:lineRule="auto"/>
        <w:jc w:val="left"/>
        <w:rPr>
          <w:rFonts w:ascii="Times New Roman Regular" w:hAnsi="Times New Roman Regular" w:cs="Times New Roman Regular"/>
          <w:sz w:val="20"/>
          <w:szCs w:val="20"/>
          <w:lang w:eastAsia="zh-Hans"/>
        </w:rPr>
      </w:pPr>
    </w:p>
    <w:p>
      <w:pPr>
        <w:widowControl/>
        <w:spacing w:line="480" w:lineRule="auto"/>
        <w:jc w:val="left"/>
        <w:rPr>
          <w:rFonts w:ascii="Times New Roman Regular" w:hAnsi="Times New Roman Regular" w:cs="Times New Roman Regular"/>
          <w:sz w:val="20"/>
          <w:szCs w:val="20"/>
          <w:lang w:eastAsia="zh-Hans"/>
        </w:rPr>
      </w:pPr>
      <w:r>
        <w:rPr>
          <w:rFonts w:ascii="Times New Roman Regular" w:hAnsi="Times New Roman Regular" w:cs="Times New Roman Regular"/>
          <w:sz w:val="20"/>
          <w:szCs w:val="20"/>
          <w:lang w:eastAsia="zh-Hans"/>
        </w:rPr>
        <w:t>Tianyu Gao</w:t>
      </w:r>
      <w:r>
        <w:rPr>
          <w:rFonts w:ascii="Times New Roman Regular" w:hAnsi="Times New Roman Regular" w:cs="Times New Roman Regular"/>
          <w:sz w:val="20"/>
          <w:szCs w:val="20"/>
          <w:vertAlign w:val="superscript"/>
          <w:lang w:eastAsia="zh-Hans"/>
        </w:rPr>
        <w:t>1,2</w:t>
      </w:r>
      <w:r>
        <w:rPr>
          <w:rFonts w:ascii="Times New Roman Regular" w:hAnsi="Times New Roman Regular" w:eastAsia="微软雅黑" w:cs="Times New Roman Regular"/>
          <w:sz w:val="20"/>
          <w:szCs w:val="20"/>
          <w:vertAlign w:val="superscript"/>
        </w:rPr>
        <w:t>†</w:t>
      </w:r>
      <w:r>
        <w:rPr>
          <w:rFonts w:ascii="Times New Roman Regular" w:hAnsi="Times New Roman Regular" w:cs="Times New Roman Regular"/>
          <w:sz w:val="20"/>
          <w:szCs w:val="20"/>
          <w:lang w:eastAsia="zh-Hans"/>
        </w:rPr>
        <w:t>, Hongshi Huang</w:t>
      </w:r>
      <w:r>
        <w:rPr>
          <w:rFonts w:ascii="Times New Roman Regular" w:hAnsi="Times New Roman Regular" w:cs="Times New Roman Regular"/>
          <w:sz w:val="20"/>
          <w:szCs w:val="20"/>
          <w:vertAlign w:val="superscript"/>
          <w:lang w:eastAsia="zh-Hans"/>
        </w:rPr>
        <w:t>1</w:t>
      </w:r>
      <w:r>
        <w:rPr>
          <w:rFonts w:ascii="Times New Roman Regular" w:hAnsi="Times New Roman Regular" w:eastAsia="微软雅黑" w:cs="Times New Roman Regular"/>
          <w:sz w:val="20"/>
          <w:szCs w:val="20"/>
          <w:vertAlign w:val="superscript"/>
        </w:rPr>
        <w:t>†</w:t>
      </w:r>
      <w:r>
        <w:rPr>
          <w:rFonts w:ascii="Times New Roman Regular" w:hAnsi="Times New Roman Regular" w:cs="Times New Roman Regular"/>
          <w:sz w:val="20"/>
          <w:szCs w:val="20"/>
          <w:lang w:eastAsia="zh-Hans"/>
        </w:rPr>
        <w:t>, Yuanyuan Yu</w:t>
      </w:r>
      <w:r>
        <w:rPr>
          <w:rFonts w:ascii="Times New Roman Regular" w:hAnsi="Times New Roman Regular" w:cs="Times New Roman Regular"/>
          <w:sz w:val="20"/>
          <w:szCs w:val="20"/>
          <w:vertAlign w:val="superscript"/>
          <w:lang w:eastAsia="zh-Hans"/>
        </w:rPr>
        <w:t>1</w:t>
      </w:r>
      <w:r>
        <w:rPr>
          <w:rFonts w:ascii="Times New Roman Regular" w:hAnsi="Times New Roman Regular" w:cs="Times New Roman Regular"/>
          <w:sz w:val="20"/>
          <w:szCs w:val="20"/>
          <w:lang w:eastAsia="zh-Hans"/>
        </w:rPr>
        <w:t>, Hui Liu</w:t>
      </w:r>
      <w:r>
        <w:rPr>
          <w:rFonts w:ascii="Times New Roman Regular" w:hAnsi="Times New Roman Regular" w:cs="Times New Roman Regular"/>
          <w:sz w:val="20"/>
          <w:szCs w:val="20"/>
          <w:vertAlign w:val="superscript"/>
          <w:lang w:eastAsia="zh-Hans"/>
        </w:rPr>
        <w:t>3*</w:t>
      </w:r>
      <w:r>
        <w:rPr>
          <w:rFonts w:ascii="Times New Roman Regular" w:hAnsi="Times New Roman Regular" w:cs="Times New Roman Regular"/>
          <w:sz w:val="20"/>
          <w:szCs w:val="20"/>
          <w:lang w:eastAsia="zh-Hans"/>
        </w:rPr>
        <w:t>, Yingfang Ao</w:t>
      </w:r>
      <w:r>
        <w:rPr>
          <w:rFonts w:ascii="Times New Roman Regular" w:hAnsi="Times New Roman Regular" w:cs="Times New Roman Regular"/>
          <w:sz w:val="20"/>
          <w:szCs w:val="20"/>
          <w:vertAlign w:val="superscript"/>
          <w:lang w:eastAsia="zh-Hans"/>
        </w:rPr>
        <w:t>1*</w:t>
      </w:r>
    </w:p>
    <w:p>
      <w:pPr>
        <w:widowControl/>
        <w:spacing w:line="480" w:lineRule="auto"/>
        <w:jc w:val="left"/>
        <w:rPr>
          <w:rFonts w:ascii="Times New Roman Regular" w:hAnsi="Times New Roman Regular" w:cs="Times New Roman Regular"/>
          <w:sz w:val="20"/>
          <w:szCs w:val="20"/>
          <w:lang w:eastAsia="zh-Hans"/>
        </w:rPr>
      </w:pPr>
      <w:r>
        <w:rPr>
          <w:rFonts w:ascii="Times New Roman Regular" w:hAnsi="Times New Roman Regular" w:cs="Times New Roman Regular"/>
          <w:sz w:val="20"/>
          <w:szCs w:val="20"/>
          <w:lang w:eastAsia="zh-Hans"/>
        </w:rPr>
        <w:t>1.Department of Sports Medicine, Peking University Third Hospital, Institute of Sports Medicine of Peking University, Beijing Key Laboratory of Sports Injuries, Engineering Research Center of Sports Trauma Treatment Technology and Devices, Ministry of Education, Beijing 100191, China</w:t>
      </w:r>
    </w:p>
    <w:p>
      <w:pPr>
        <w:widowControl/>
        <w:spacing w:line="480" w:lineRule="auto"/>
        <w:jc w:val="left"/>
        <w:rPr>
          <w:rFonts w:ascii="Times New Roman Regular" w:hAnsi="Times New Roman Regular" w:cs="Times New Roman Regular"/>
          <w:sz w:val="20"/>
          <w:szCs w:val="20"/>
          <w:lang w:eastAsia="zh-Hans"/>
        </w:rPr>
      </w:pPr>
      <w:r>
        <w:rPr>
          <w:rFonts w:ascii="Times New Roman Regular" w:hAnsi="Times New Roman Regular" w:cs="Times New Roman Regular"/>
          <w:sz w:val="20"/>
          <w:szCs w:val="20"/>
          <w:lang w:eastAsia="zh-Hans"/>
        </w:rPr>
        <w:t>2.Tianjin Key Laboratory of Exercise Physiology and Sports Medicine, Institute of Sport, Exercise &amp; Health, Tianjin University of Sport, Tianjin 300381, China</w:t>
      </w:r>
    </w:p>
    <w:p>
      <w:pPr>
        <w:widowControl/>
        <w:spacing w:line="480" w:lineRule="auto"/>
        <w:jc w:val="left"/>
        <w:rPr>
          <w:rFonts w:ascii="Times New Roman Regular" w:hAnsi="Times New Roman Regular" w:cs="Times New Roman Regular"/>
          <w:sz w:val="20"/>
          <w:szCs w:val="20"/>
          <w:lang w:eastAsia="zh-Hans"/>
        </w:rPr>
      </w:pPr>
      <w:r>
        <w:rPr>
          <w:rFonts w:ascii="Times New Roman Regular" w:hAnsi="Times New Roman Regular" w:cs="Times New Roman Regular"/>
          <w:sz w:val="20"/>
          <w:szCs w:val="20"/>
          <w:lang w:eastAsia="zh-Hans"/>
        </w:rPr>
        <w:t>3.Biomechanics Laboratory, College of Human Movement Science, Beijing Sport University, Beijing 100091, China.</w:t>
      </w:r>
    </w:p>
    <w:p>
      <w:pPr>
        <w:widowControl/>
        <w:spacing w:line="480" w:lineRule="auto"/>
        <w:jc w:val="left"/>
        <w:rPr>
          <w:rFonts w:ascii="Times New Roman Regular" w:hAnsi="Times New Roman Regular" w:cs="Times New Roman Regular"/>
          <w:sz w:val="20"/>
          <w:szCs w:val="20"/>
          <w:lang w:eastAsia="zh-Hans"/>
        </w:rPr>
      </w:pPr>
      <w:r>
        <w:rPr>
          <w:rFonts w:ascii="Times New Roman Regular" w:hAnsi="Times New Roman Regular" w:cs="Times New Roman Regular"/>
          <w:b/>
          <w:bCs/>
          <w:sz w:val="20"/>
          <w:szCs w:val="20"/>
          <w:lang w:eastAsia="zh-Hans"/>
        </w:rPr>
        <w:t>Co-first author:</w:t>
      </w:r>
      <w:r>
        <w:rPr>
          <w:rFonts w:ascii="Times New Roman Regular" w:hAnsi="Times New Roman Regular" w:cs="Times New Roman Regular"/>
          <w:sz w:val="20"/>
          <w:szCs w:val="20"/>
          <w:lang w:eastAsia="zh-Hans"/>
        </w:rPr>
        <w:t xml:space="preserve"> Tianyu Gao and Hongshi Huang</w:t>
      </w:r>
    </w:p>
    <w:p>
      <w:pPr>
        <w:widowControl/>
        <w:spacing w:line="480" w:lineRule="auto"/>
        <w:jc w:val="left"/>
        <w:rPr>
          <w:rFonts w:ascii="Times New Roman Regular" w:hAnsi="Times New Roman Regular" w:cs="Times New Roman Regular"/>
          <w:sz w:val="20"/>
          <w:szCs w:val="20"/>
          <w:lang w:eastAsia="zh-Hans"/>
        </w:rPr>
      </w:pPr>
      <w:r>
        <w:rPr>
          <w:rFonts w:ascii="Times New Roman Regular" w:hAnsi="Times New Roman Regular" w:cs="Times New Roman Regular"/>
          <w:b/>
          <w:bCs/>
          <w:sz w:val="20"/>
          <w:szCs w:val="20"/>
          <w:lang w:eastAsia="zh-Hans"/>
        </w:rPr>
        <w:t>Corresponding Author:</w:t>
      </w:r>
      <w:r>
        <w:rPr>
          <w:rFonts w:ascii="Times New Roman Regular" w:hAnsi="Times New Roman Regular" w:cs="Times New Roman Regular"/>
          <w:sz w:val="20"/>
          <w:szCs w:val="20"/>
          <w:lang w:eastAsia="zh-Hans"/>
        </w:rPr>
        <w:t xml:space="preserve"> Hui Liu and Yingfang Ao</w:t>
      </w:r>
    </w:p>
    <w:p>
      <w:pPr>
        <w:widowControl/>
        <w:spacing w:line="480" w:lineRule="auto"/>
        <w:jc w:val="left"/>
        <w:rPr>
          <w:rFonts w:ascii="Times New Roman Regular" w:hAnsi="Times New Roman Regular" w:cs="Times New Roman Regular"/>
          <w:sz w:val="20"/>
          <w:szCs w:val="20"/>
          <w:lang w:eastAsia="zh-Hans"/>
        </w:rPr>
      </w:pPr>
      <w:r>
        <w:rPr>
          <w:rFonts w:ascii="Times New Roman Regular" w:hAnsi="Times New Roman Regular" w:cs="Times New Roman Regular"/>
          <w:b/>
          <w:bCs/>
          <w:sz w:val="20"/>
          <w:szCs w:val="20"/>
          <w:lang w:eastAsia="zh-Hans"/>
        </w:rPr>
        <w:t>Address for correspondence:</w:t>
      </w:r>
      <w:r>
        <w:rPr>
          <w:rFonts w:ascii="Times New Roman Regular" w:hAnsi="Times New Roman Regular" w:cs="Times New Roman Regular"/>
          <w:sz w:val="20"/>
          <w:szCs w:val="20"/>
          <w:lang w:eastAsia="zh-Hans"/>
        </w:rPr>
        <w:t xml:space="preserve"> Peking University Third Hospital, No.49 Huayuan North Road, Haidian District, Beijing, China</w:t>
      </w:r>
    </w:p>
    <w:p>
      <w:pPr>
        <w:keepNext w:val="0"/>
        <w:keepLines w:val="0"/>
        <w:widowControl/>
        <w:suppressLineNumbers w:val="0"/>
        <w:spacing w:line="480" w:lineRule="auto"/>
        <w:jc w:val="left"/>
        <w:rPr>
          <w:rStyle w:val="7"/>
          <w:rFonts w:hint="default" w:ascii="Times New Roman Regular" w:hAnsi="Times New Roman Regular" w:cs="Times New Roman Regular"/>
          <w:color w:val="000000"/>
          <w:sz w:val="20"/>
          <w:szCs w:val="20"/>
          <w:u w:val="none"/>
        </w:rPr>
      </w:pPr>
      <w:r>
        <w:rPr>
          <w:rFonts w:ascii="Times New Roman Regular" w:hAnsi="Times New Roman Regular" w:cs="Times New Roman Regular"/>
          <w:b/>
          <w:bCs/>
          <w:sz w:val="20"/>
          <w:szCs w:val="20"/>
        </w:rPr>
        <w:t>E-mail:</w:t>
      </w:r>
      <w:r>
        <w:rPr>
          <w:rFonts w:ascii="Times New Roman Regular" w:hAnsi="Times New Roman Regular" w:cs="Times New Roman Regular"/>
          <w:color w:val="000000"/>
          <w:sz w:val="20"/>
          <w:szCs w:val="20"/>
        </w:rPr>
        <w:t xml:space="preserve"> </w:t>
      </w:r>
      <w:r>
        <w:fldChar w:fldCharType="begin"/>
      </w:r>
      <w:r>
        <w:instrText xml:space="preserve"> HYPERLINK "mailto:aoyingfang@163.com" </w:instrText>
      </w:r>
      <w:r>
        <w:fldChar w:fldCharType="separate"/>
      </w:r>
      <w:r>
        <w:rPr>
          <w:rStyle w:val="7"/>
          <w:rFonts w:ascii="Times New Roman Regular" w:hAnsi="Times New Roman Regular" w:cs="Times New Roman Regular"/>
          <w:color w:val="000000"/>
          <w:sz w:val="20"/>
          <w:szCs w:val="20"/>
          <w:u w:val="none"/>
        </w:rPr>
        <w:t>aoyingfang@163.com</w:t>
      </w:r>
      <w:r>
        <w:rPr>
          <w:rStyle w:val="7"/>
          <w:rFonts w:ascii="Times New Roman Regular" w:hAnsi="Times New Roman Regular" w:cs="Times New Roman Regular"/>
          <w:color w:val="000000"/>
          <w:sz w:val="20"/>
          <w:szCs w:val="20"/>
          <w:u w:val="none"/>
        </w:rPr>
        <w:fldChar w:fldCharType="end"/>
      </w:r>
    </w:p>
    <w:p>
      <w:pPr>
        <w:keepNext w:val="0"/>
        <w:keepLines w:val="0"/>
        <w:widowControl/>
        <w:suppressLineNumbers w:val="0"/>
        <w:spacing w:line="480" w:lineRule="auto"/>
        <w:jc w:val="left"/>
        <w:rPr>
          <w:rStyle w:val="7"/>
          <w:rFonts w:hint="default" w:ascii="Times New Roman Regular" w:hAnsi="Times New Roman Regular" w:cs="Times New Roman Regular"/>
          <w:color w:val="000000"/>
          <w:sz w:val="20"/>
          <w:szCs w:val="20"/>
          <w:u w:val="none"/>
          <w:lang w:eastAsia="zh-Hans"/>
        </w:rPr>
      </w:pPr>
    </w:p>
    <w:p>
      <w:pPr>
        <w:keepNext w:val="0"/>
        <w:keepLines w:val="0"/>
        <w:pageBreakBefore w:val="0"/>
        <w:widowControl w:val="0"/>
        <w:kinsoku/>
        <w:wordWrap/>
        <w:overflowPunct/>
        <w:topLinePunct w:val="0"/>
        <w:autoSpaceDE/>
        <w:autoSpaceDN/>
        <w:bidi w:val="0"/>
        <w:adjustRightInd/>
        <w:snapToGrid/>
        <w:spacing w:line="480" w:lineRule="auto"/>
        <w:jc w:val="both"/>
        <w:textAlignment w:val="auto"/>
        <w:rPr>
          <w:rFonts w:hint="default" w:ascii="Times New Roman Regular" w:hAnsi="Times New Roman Regular" w:cs="Times New Roman Regular"/>
          <w:b/>
          <w:bCs/>
          <w:sz w:val="20"/>
          <w:szCs w:val="20"/>
          <w:lang w:eastAsia="zh-Hans"/>
        </w:rPr>
      </w:pPr>
    </w:p>
    <w:p>
      <w:pPr>
        <w:keepNext w:val="0"/>
        <w:keepLines w:val="0"/>
        <w:pageBreakBefore w:val="0"/>
        <w:widowControl w:val="0"/>
        <w:kinsoku/>
        <w:wordWrap/>
        <w:overflowPunct/>
        <w:topLinePunct w:val="0"/>
        <w:autoSpaceDE/>
        <w:autoSpaceDN/>
        <w:bidi w:val="0"/>
        <w:adjustRightInd/>
        <w:snapToGrid/>
        <w:spacing w:line="480" w:lineRule="auto"/>
        <w:jc w:val="both"/>
        <w:textAlignment w:val="auto"/>
        <w:rPr>
          <w:rFonts w:hint="default" w:ascii="Times New Roman Regular" w:hAnsi="Times New Roman Regular" w:cs="Times New Roman Regular"/>
          <w:b/>
          <w:bCs/>
          <w:sz w:val="20"/>
          <w:szCs w:val="20"/>
          <w:lang w:eastAsia="zh-Hans"/>
        </w:rPr>
      </w:pPr>
    </w:p>
    <w:p>
      <w:pPr>
        <w:keepNext w:val="0"/>
        <w:keepLines w:val="0"/>
        <w:pageBreakBefore w:val="0"/>
        <w:widowControl w:val="0"/>
        <w:kinsoku/>
        <w:wordWrap/>
        <w:overflowPunct/>
        <w:topLinePunct w:val="0"/>
        <w:autoSpaceDE/>
        <w:autoSpaceDN/>
        <w:bidi w:val="0"/>
        <w:adjustRightInd/>
        <w:snapToGrid/>
        <w:spacing w:line="480" w:lineRule="auto"/>
        <w:jc w:val="both"/>
        <w:textAlignment w:val="auto"/>
        <w:rPr>
          <w:rFonts w:hint="default" w:ascii="Times New Roman Regular" w:hAnsi="Times New Roman Regular" w:cs="Times New Roman Regular"/>
          <w:b/>
          <w:bCs/>
          <w:sz w:val="20"/>
          <w:szCs w:val="20"/>
          <w:lang w:eastAsia="zh-Hans"/>
        </w:rPr>
      </w:pPr>
    </w:p>
    <w:p>
      <w:pPr>
        <w:keepNext w:val="0"/>
        <w:keepLines w:val="0"/>
        <w:widowControl/>
        <w:suppressLineNumbers w:val="0"/>
        <w:spacing w:line="480" w:lineRule="auto"/>
        <w:jc w:val="left"/>
        <w:rPr>
          <w:rFonts w:hint="default" w:ascii="Times New Roman Regular" w:hAnsi="Times New Roman Regular" w:cs="Times New Roman Regular"/>
          <w:b/>
          <w:bCs/>
          <w:color w:val="auto"/>
          <w:sz w:val="20"/>
          <w:szCs w:val="20"/>
          <w:lang w:val="en-US" w:eastAsia="zh-Hans"/>
        </w:rPr>
      </w:pPr>
    </w:p>
    <w:p>
      <w:pPr>
        <w:keepNext w:val="0"/>
        <w:keepLines w:val="0"/>
        <w:widowControl/>
        <w:suppressLineNumbers w:val="0"/>
        <w:spacing w:line="480" w:lineRule="auto"/>
        <w:jc w:val="left"/>
        <w:rPr>
          <w:rFonts w:hint="default" w:ascii="Times New Roman Regular" w:hAnsi="Times New Roman Regular" w:cs="Times New Roman Regular"/>
          <w:b/>
          <w:bCs/>
          <w:color w:val="auto"/>
          <w:sz w:val="20"/>
          <w:szCs w:val="20"/>
          <w:lang w:val="en-US" w:eastAsia="zh-Hans"/>
        </w:rPr>
      </w:pPr>
    </w:p>
    <w:p>
      <w:pPr>
        <w:widowControl/>
        <w:spacing w:line="480" w:lineRule="auto"/>
        <w:jc w:val="left"/>
        <w:rPr>
          <w:rFonts w:ascii="Times New Roman Regular" w:hAnsi="Times New Roman Regular" w:cs="Times New Roman Regular"/>
          <w:sz w:val="20"/>
          <w:szCs w:val="20"/>
          <w:lang w:eastAsia="zh-Hans"/>
        </w:rPr>
      </w:pPr>
      <w:r>
        <w:rPr>
          <w:rFonts w:ascii="Times New Roman Regular" w:hAnsi="Times New Roman Regular" w:cs="Times New Roman Regular"/>
          <w:b/>
          <w:bCs/>
          <w:sz w:val="20"/>
          <w:szCs w:val="20"/>
          <w:lang w:eastAsia="zh-Hans"/>
        </w:rPr>
        <w:t>Abstract</w:t>
      </w:r>
    </w:p>
    <w:p>
      <w:pPr>
        <w:spacing w:line="480" w:lineRule="auto"/>
        <w:rPr>
          <w:rFonts w:ascii="Times New Roman Regular" w:hAnsi="Times New Roman Regular" w:cs="Times New Roman Regular"/>
          <w:sz w:val="20"/>
          <w:szCs w:val="20"/>
          <w:lang w:eastAsia="zh-Hans"/>
        </w:rPr>
      </w:pPr>
      <w:r>
        <w:rPr>
          <w:rFonts w:ascii="Times New Roman Regular" w:hAnsi="Times New Roman Regular" w:cs="Times New Roman Regular"/>
          <w:b/>
          <w:bCs/>
          <w:sz w:val="20"/>
          <w:szCs w:val="20"/>
          <w:lang w:eastAsia="zh-Hans"/>
        </w:rPr>
        <w:t xml:space="preserve">Background: </w:t>
      </w:r>
      <w:r>
        <w:rPr>
          <w:rFonts w:ascii="Times New Roman Regular" w:hAnsi="Times New Roman Regular" w:cs="Times New Roman Regular"/>
          <w:sz w:val="20"/>
          <w:szCs w:val="20"/>
          <w:lang w:eastAsia="zh-Hans"/>
        </w:rPr>
        <w:t xml:space="preserve">The incidence of knee osteoarthritis after anterior cruciate ligament reconstruction (ACLR) is high to 57%, and the biomechanical abnormality during walking is one of the reasons. The purpose of this study was to investigate the effect of 12 weeks of knee extension constraint training on walking biomechanics during the stance phase of injured side after ACLR. </w:t>
      </w:r>
    </w:p>
    <w:p>
      <w:pPr>
        <w:spacing w:line="480" w:lineRule="auto"/>
        <w:rPr>
          <w:rFonts w:ascii="Times New Roman Regular" w:hAnsi="Times New Roman Regular" w:cs="Times New Roman Regular"/>
          <w:sz w:val="20"/>
          <w:szCs w:val="20"/>
        </w:rPr>
      </w:pPr>
      <w:r>
        <w:rPr>
          <w:rFonts w:ascii="Times New Roman Bold" w:hAnsi="Times New Roman Bold" w:cs="Times New Roman Bold"/>
          <w:b/>
          <w:bCs/>
          <w:sz w:val="20"/>
          <w:szCs w:val="20"/>
          <w:lang w:eastAsia="zh-Hans"/>
        </w:rPr>
        <w:t>Methods:</w:t>
      </w:r>
      <w:r>
        <w:rPr>
          <w:rFonts w:ascii="Times New Roman Regular" w:hAnsi="Times New Roman Regular" w:cs="Times New Roman Regular"/>
          <w:b/>
          <w:bCs/>
          <w:sz w:val="20"/>
          <w:szCs w:val="20"/>
          <w:lang w:eastAsia="zh-Hans"/>
        </w:rPr>
        <w:t xml:space="preserve"> </w:t>
      </w:r>
      <w:r>
        <w:rPr>
          <w:rFonts w:ascii="Times New Roman Regular" w:hAnsi="Times New Roman Regular" w:cs="Times New Roman Regular"/>
          <w:sz w:val="20"/>
          <w:szCs w:val="20"/>
          <w:lang w:eastAsia="zh-Hans"/>
        </w:rPr>
        <w:t xml:space="preserve">Forty-five patients were randomly assigned to three groups based on different brace </w:t>
      </w:r>
      <w:r>
        <w:rPr>
          <w:rFonts w:ascii="Times New Roman Regular" w:hAnsi="Times New Roman Regular" w:cs="Times New Roman Regular"/>
          <w:sz w:val="20"/>
          <w:szCs w:val="20"/>
        </w:rPr>
        <w:t>conditions from 13 weeks to 24 weeks after ACLR</w:t>
      </w:r>
      <w:r>
        <w:rPr>
          <w:rFonts w:ascii="Times New Roman Regular" w:hAnsi="Times New Roman Regular" w:cs="Times New Roman Regular"/>
          <w:sz w:val="20"/>
          <w:szCs w:val="20"/>
          <w:lang w:eastAsia="zh-Hans"/>
        </w:rPr>
        <w:t xml:space="preserve">: </w:t>
      </w:r>
      <w:r>
        <w:rPr>
          <w:rFonts w:ascii="Times New Roman Regular" w:hAnsi="Times New Roman Regular" w:cs="Times New Roman Regular"/>
          <w:sz w:val="20"/>
          <w:szCs w:val="20"/>
        </w:rPr>
        <w:t xml:space="preserve">experimental (brace with knee extension constraint), placebo (brace without knee extension constraint), and control (no brace). Gait analysis was performed 3 and 6 months after ACLR. </w:t>
      </w:r>
      <w:r>
        <w:rPr>
          <w:rFonts w:hint="eastAsia" w:ascii="Times New Roman Regular" w:hAnsi="Times New Roman Regular" w:cs="Times New Roman Regular"/>
          <w:sz w:val="20"/>
          <w:szCs w:val="20"/>
        </w:rPr>
        <w:t xml:space="preserve">The peak for knee flexion angle (KFA), knee extension moment (KEM), and vertical ground reaction force (vGRF) were compared by 2 (time) x 3 (group) repeated-measures analysis of covariance (ANCOVA), and pairwise comparisons were conducted. </w:t>
      </w:r>
      <w:r>
        <w:rPr>
          <w:rFonts w:ascii="Times New Roman Regular" w:hAnsi="Times New Roman Regular" w:cs="Times New Roman Regular"/>
          <w:sz w:val="20"/>
          <w:szCs w:val="20"/>
        </w:rPr>
        <w:t xml:space="preserve">. </w:t>
      </w:r>
    </w:p>
    <w:p>
      <w:pPr>
        <w:spacing w:line="480" w:lineRule="auto"/>
        <w:rPr>
          <w:rFonts w:ascii="Times New Roman Regular" w:hAnsi="Times New Roman Regular" w:cs="Times New Roman Regular"/>
          <w:sz w:val="20"/>
          <w:szCs w:val="20"/>
          <w:lang w:eastAsia="zh-Hans"/>
        </w:rPr>
      </w:pPr>
      <w:r>
        <w:rPr>
          <w:rFonts w:ascii="Times New Roman Regular" w:hAnsi="Times New Roman Regular" w:cs="Times New Roman Regular"/>
          <w:b/>
          <w:bCs/>
          <w:sz w:val="20"/>
          <w:szCs w:val="20"/>
          <w:lang w:eastAsia="zh-Hans"/>
        </w:rPr>
        <w:t xml:space="preserve">Results: </w:t>
      </w:r>
      <w:r>
        <w:rPr>
          <w:rFonts w:hint="eastAsia" w:ascii="Times New Roman Regular" w:hAnsi="Times New Roman Regular" w:cs="Times New Roman Regular"/>
          <w:b w:val="0"/>
          <w:bCs w:val="0"/>
          <w:sz w:val="20"/>
          <w:szCs w:val="20"/>
          <w:lang w:eastAsia="zh-Hans"/>
        </w:rPr>
        <w:t>There was a significant time x group interaction for the peak KFA (p = 0.047), and there was no significant time x group interaction for the peak KEM</w:t>
      </w:r>
      <w:r>
        <w:rPr>
          <w:rFonts w:hint="default" w:ascii="Times New Roman Regular" w:hAnsi="Times New Roman Regular" w:cs="Times New Roman Regular"/>
          <w:b w:val="0"/>
          <w:bCs w:val="0"/>
          <w:sz w:val="20"/>
          <w:szCs w:val="20"/>
          <w:lang w:val="en-US" w:eastAsia="zh-Hans"/>
        </w:rPr>
        <w:t xml:space="preserve"> </w:t>
      </w:r>
      <w:r>
        <w:rPr>
          <w:rFonts w:hint="eastAsia" w:ascii="Times New Roman Regular" w:hAnsi="Times New Roman Regular" w:cs="Times New Roman Regular"/>
          <w:b w:val="0"/>
          <w:bCs w:val="0"/>
          <w:sz w:val="20"/>
          <w:szCs w:val="20"/>
          <w:lang w:eastAsia="zh-Hans"/>
        </w:rPr>
        <w:t>and peak vGRF.</w:t>
      </w:r>
      <w:r>
        <w:rPr>
          <w:rFonts w:hint="default" w:ascii="Times New Roman Regular" w:hAnsi="Times New Roman Regular" w:cs="Times New Roman Regular"/>
          <w:b/>
          <w:bCs/>
          <w:sz w:val="20"/>
          <w:szCs w:val="20"/>
          <w:lang w:val="en-US" w:eastAsia="zh-Hans"/>
        </w:rPr>
        <w:t xml:space="preserve"> </w:t>
      </w:r>
      <w:r>
        <w:rPr>
          <w:rFonts w:hint="eastAsia" w:ascii="Times New Roman Regular" w:hAnsi="Times New Roman Regular" w:cs="Times New Roman Regular"/>
          <w:sz w:val="20"/>
          <w:szCs w:val="20"/>
          <w:lang w:eastAsia="zh-Hans"/>
        </w:rPr>
        <w:t>The pairwise comparisons showed that there were no statistical differences among the groups both the pre-intervention and post-intervention in the peak KFA, peak KEM, and peak vGRF. Compared with pre-intervention, the peak vGRF in the experimental group was significantly greater (p = 0.0</w:t>
      </w:r>
      <w:r>
        <w:rPr>
          <w:rFonts w:hint="default" w:ascii="Times New Roman Regular" w:hAnsi="Times New Roman Regular" w:cs="Times New Roman Regular"/>
          <w:sz w:val="20"/>
          <w:szCs w:val="20"/>
          <w:lang w:val="en-US" w:eastAsia="zh-Hans"/>
        </w:rPr>
        <w:t>09</w:t>
      </w:r>
      <w:r>
        <w:rPr>
          <w:rFonts w:hint="eastAsia" w:ascii="Times New Roman Regular" w:hAnsi="Times New Roman Regular" w:cs="Times New Roman Regular"/>
          <w:sz w:val="20"/>
          <w:szCs w:val="20"/>
          <w:lang w:eastAsia="zh-Hans"/>
        </w:rPr>
        <w:t>) and the peak KFA in the control group was significantly lower (p = 0.0</w:t>
      </w:r>
      <w:r>
        <w:rPr>
          <w:rFonts w:hint="default" w:ascii="Times New Roman Regular" w:hAnsi="Times New Roman Regular" w:cs="Times New Roman Regular"/>
          <w:sz w:val="20"/>
          <w:szCs w:val="20"/>
          <w:lang w:val="en-US" w:eastAsia="zh-Hans"/>
        </w:rPr>
        <w:t>41</w:t>
      </w:r>
      <w:r>
        <w:rPr>
          <w:rFonts w:hint="eastAsia" w:ascii="Times New Roman Regular" w:hAnsi="Times New Roman Regular" w:cs="Times New Roman Regular"/>
          <w:sz w:val="20"/>
          <w:szCs w:val="20"/>
          <w:lang w:eastAsia="zh-Hans"/>
        </w:rPr>
        <w:t xml:space="preserve">) post-intervention. There were not significantly different in the placebo group between pre-intervention and post-intervention. </w:t>
      </w:r>
      <w:r>
        <w:rPr>
          <w:rFonts w:ascii="Times New Roman Regular" w:hAnsi="Times New Roman Regular" w:cs="Times New Roman Regular"/>
          <w:sz w:val="20"/>
          <w:szCs w:val="20"/>
          <w:lang w:eastAsia="zh-Hans"/>
        </w:rPr>
        <w:t xml:space="preserve"> </w:t>
      </w:r>
    </w:p>
    <w:p>
      <w:pPr>
        <w:spacing w:line="480" w:lineRule="auto"/>
        <w:rPr>
          <w:rFonts w:ascii="Times New Roman Regular" w:hAnsi="Times New Roman Regular" w:cs="Times New Roman Regular"/>
          <w:sz w:val="20"/>
          <w:szCs w:val="20"/>
          <w:lang w:eastAsia="zh-Hans"/>
        </w:rPr>
      </w:pPr>
      <w:r>
        <w:rPr>
          <w:rFonts w:ascii="Times New Roman Regular" w:hAnsi="Times New Roman Regular" w:cs="Times New Roman Regular"/>
          <w:b/>
          <w:bCs/>
          <w:sz w:val="20"/>
          <w:szCs w:val="20"/>
          <w:lang w:eastAsia="zh-Hans"/>
        </w:rPr>
        <w:t>Conclusion:</w:t>
      </w:r>
      <w:r>
        <w:rPr>
          <w:rFonts w:ascii="Times New Roman Regular" w:hAnsi="Times New Roman Regular" w:cs="Times New Roman Regular"/>
          <w:sz w:val="20"/>
          <w:szCs w:val="20"/>
          <w:lang w:eastAsia="zh-Hans"/>
        </w:rPr>
        <w:t xml:space="preserve"> 12 weeks of knee extension constraint training can increase lower extremity loading on the injured side, may be a potential therapeutic adjunct to improve abnormal gait after ACLR.</w:t>
      </w:r>
    </w:p>
    <w:p>
      <w:pPr>
        <w:spacing w:line="480" w:lineRule="auto"/>
        <w:rPr>
          <w:rFonts w:ascii="Times New Roman Regular" w:hAnsi="Times New Roman Regular" w:cs="Times New Roman Regular"/>
          <w:sz w:val="20"/>
          <w:szCs w:val="20"/>
          <w:lang w:eastAsia="zh-Hans"/>
        </w:rPr>
      </w:pPr>
      <w:r>
        <w:rPr>
          <w:rFonts w:ascii="Times New Roman Regular" w:hAnsi="Times New Roman Regular" w:cs="Times New Roman Regular"/>
          <w:b/>
          <w:bCs/>
          <w:sz w:val="20"/>
          <w:szCs w:val="20"/>
          <w:lang w:eastAsia="zh-Hans"/>
        </w:rPr>
        <w:t>Keywords:</w:t>
      </w:r>
      <w:r>
        <w:rPr>
          <w:rFonts w:ascii="Times New Roman Regular" w:hAnsi="Times New Roman Regular" w:cs="Times New Roman Regular"/>
          <w:sz w:val="20"/>
          <w:szCs w:val="20"/>
          <w:lang w:eastAsia="zh-Hans"/>
        </w:rPr>
        <w:t xml:space="preserve"> Anterior cruciate ligament reconstruction; biomechanics; rehabilitation; walking</w:t>
      </w:r>
      <w:bookmarkStart w:id="0" w:name="_GoBack"/>
      <w:bookmarkEnd w:id="0"/>
    </w:p>
    <w:p>
      <w:pPr>
        <w:keepNext w:val="0"/>
        <w:keepLines w:val="0"/>
        <w:pageBreakBefore w:val="0"/>
        <w:widowControl w:val="0"/>
        <w:kinsoku/>
        <w:wordWrap/>
        <w:overflowPunct/>
        <w:topLinePunct w:val="0"/>
        <w:autoSpaceDE/>
        <w:autoSpaceDN/>
        <w:bidi w:val="0"/>
        <w:adjustRightInd/>
        <w:snapToGrid/>
        <w:spacing w:line="480" w:lineRule="auto"/>
        <w:ind w:left="0" w:leftChars="0" w:firstLine="0" w:firstLineChars="0"/>
        <w:jc w:val="both"/>
        <w:textAlignment w:val="auto"/>
        <w:rPr>
          <w:rFonts w:hint="default" w:ascii="Times New Roman Regular" w:hAnsi="Times New Roman Regular" w:cs="Times New Roman Regular"/>
          <w:sz w:val="20"/>
          <w:szCs w:val="20"/>
          <w:lang w:val="en-US" w:eastAsia="zh-Hans"/>
        </w:rPr>
      </w:pPr>
    </w:p>
    <w:p>
      <w:pPr>
        <w:spacing w:line="480" w:lineRule="auto"/>
        <w:rPr>
          <w:rFonts w:ascii="Times New Roman Bold" w:hAnsi="Times New Roman Bold" w:cs="Times New Roman Bold"/>
          <w:b/>
          <w:bCs/>
          <w:sz w:val="20"/>
          <w:szCs w:val="20"/>
          <w:lang w:eastAsia="zh-Hans"/>
        </w:rPr>
      </w:pPr>
      <w:r>
        <w:rPr>
          <w:rFonts w:ascii="Times New Roman Bold" w:hAnsi="Times New Roman Bold" w:cs="Times New Roman Bold"/>
          <w:b/>
          <w:bCs/>
          <w:sz w:val="20"/>
          <w:szCs w:val="20"/>
          <w:lang w:eastAsia="zh-Hans"/>
        </w:rPr>
        <w:t>Acknowledgements</w:t>
      </w:r>
    </w:p>
    <w:p>
      <w:pPr>
        <w:spacing w:line="480" w:lineRule="auto"/>
        <w:rPr>
          <w:rFonts w:cs="Times New Roman"/>
          <w:sz w:val="20"/>
          <w:szCs w:val="20"/>
          <w:lang w:eastAsia="zh-Hans"/>
        </w:rPr>
      </w:pPr>
      <w:r>
        <w:rPr>
          <w:rFonts w:cs="Times New Roman"/>
          <w:sz w:val="20"/>
          <w:szCs w:val="20"/>
          <w:lang w:eastAsia="zh-Hans"/>
        </w:rPr>
        <w:t>Not applicable.</w:t>
      </w:r>
    </w:p>
    <w:p>
      <w:pPr>
        <w:spacing w:line="480" w:lineRule="auto"/>
        <w:rPr>
          <w:rFonts w:ascii="Times New Roman Bold" w:hAnsi="Times New Roman Bold" w:cs="Times New Roman Bold"/>
          <w:b/>
          <w:bCs/>
          <w:sz w:val="20"/>
          <w:szCs w:val="20"/>
          <w:lang w:eastAsia="zh-Hans"/>
        </w:rPr>
      </w:pPr>
      <w:r>
        <w:rPr>
          <w:rFonts w:ascii="Times New Roman Bold" w:hAnsi="Times New Roman Bold" w:cs="Times New Roman Bold"/>
          <w:b/>
          <w:bCs/>
          <w:sz w:val="20"/>
          <w:szCs w:val="20"/>
          <w:lang w:eastAsia="zh-Hans"/>
        </w:rPr>
        <w:t>Funding</w:t>
      </w:r>
    </w:p>
    <w:p>
      <w:pPr>
        <w:spacing w:line="480" w:lineRule="auto"/>
        <w:rPr>
          <w:rFonts w:ascii="Times New Roman Regular" w:hAnsi="Times New Roman Regular" w:cs="Times New Roman Regular"/>
          <w:sz w:val="20"/>
          <w:szCs w:val="20"/>
          <w:lang w:eastAsia="zh-Hans"/>
        </w:rPr>
      </w:pPr>
      <w:r>
        <w:rPr>
          <w:rFonts w:ascii="Times New Roman Regular" w:hAnsi="Times New Roman Regular" w:cs="Times New Roman Regular"/>
          <w:sz w:val="20"/>
          <w:szCs w:val="20"/>
          <w:lang w:eastAsia="zh-Hans"/>
        </w:rPr>
        <w:t>The current study was funded by grants from: 1) Beijing Nova Program (20230484412); 2) Beijing Natural Science Foundation (L222138); 3) Tianjin Research Innovation Project for Postgraduate Students (2022SKY363); 4) Innovation and Transformation Fund Project of Peking University Third Hospital (BYSYZHKC2022119); 5) Clinical Key Projects of Peking University Third Hospital (BYSYZD2021012).</w:t>
      </w:r>
    </w:p>
    <w:p>
      <w:pPr>
        <w:spacing w:line="480" w:lineRule="auto"/>
        <w:rPr>
          <w:rFonts w:ascii="Times New Roman Regular" w:hAnsi="Times New Roman Regular" w:cs="Times New Roman Regular"/>
          <w:sz w:val="20"/>
          <w:szCs w:val="20"/>
          <w:lang w:eastAsia="zh-Hans"/>
        </w:rPr>
      </w:pPr>
      <w:r>
        <w:rPr>
          <w:rFonts w:ascii="Times New Roman Regular" w:hAnsi="Times New Roman Regular" w:cs="Times New Roman Regular"/>
          <w:b/>
          <w:bCs/>
          <w:color w:val="000000"/>
          <w:sz w:val="20"/>
          <w:szCs w:val="20"/>
        </w:rPr>
        <w:t>Author Contributions</w:t>
      </w:r>
    </w:p>
    <w:p>
      <w:pPr>
        <w:spacing w:line="480" w:lineRule="auto"/>
        <w:rPr>
          <w:rFonts w:ascii="Times New Roman Regular" w:hAnsi="Times New Roman Regular" w:cs="Times New Roman Regular"/>
          <w:sz w:val="20"/>
          <w:szCs w:val="20"/>
          <w:shd w:val="clear" w:color="auto" w:fill="FFFFFF"/>
        </w:rPr>
      </w:pPr>
      <w:r>
        <w:rPr>
          <w:rFonts w:ascii="Times New Roman Regular" w:hAnsi="Times New Roman Regular" w:cs="Times New Roman Regular"/>
          <w:sz w:val="20"/>
          <w:szCs w:val="20"/>
          <w:shd w:val="clear" w:color="auto" w:fill="FFFFFF"/>
        </w:rPr>
        <w:t xml:space="preserve">Yingfang Ao conceived the idea for the study and then reviewed and edited. Tianyu Gao, Hongshi Huang, and Hui Liu designed the study. </w:t>
      </w:r>
      <w:r>
        <w:rPr>
          <w:rFonts w:ascii="Times New Roman Regular" w:hAnsi="Times New Roman Regular" w:cs="Times New Roman Regular"/>
          <w:sz w:val="20"/>
          <w:szCs w:val="20"/>
          <w:shd w:val="clear" w:color="auto" w:fill="FFFFFF"/>
          <w:lang w:eastAsia="zh-Hans"/>
        </w:rPr>
        <w:t xml:space="preserve">Tianyu Gao, Hongshi Huang, </w:t>
      </w:r>
      <w:r>
        <w:rPr>
          <w:rFonts w:hint="default" w:ascii="Times New Roman Regular" w:hAnsi="Times New Roman Regular" w:cs="Times New Roman Regular"/>
          <w:sz w:val="20"/>
          <w:szCs w:val="20"/>
          <w:shd w:val="clear" w:color="auto" w:fill="FFFFFF"/>
          <w:lang w:val="en-US" w:eastAsia="zh-Hans"/>
        </w:rPr>
        <w:t xml:space="preserve">and </w:t>
      </w:r>
      <w:r>
        <w:rPr>
          <w:rFonts w:ascii="Times New Roman Regular" w:hAnsi="Times New Roman Regular" w:cs="Times New Roman Regular"/>
          <w:sz w:val="20"/>
          <w:szCs w:val="20"/>
          <w:shd w:val="clear" w:color="auto" w:fill="FFFFFF"/>
          <w:lang w:eastAsia="zh-Hans"/>
        </w:rPr>
        <w:t>Yuanyuan Yu</w:t>
      </w:r>
      <w:r>
        <w:rPr>
          <w:rFonts w:ascii="Times New Roman Regular" w:hAnsi="Times New Roman Regular" w:cs="Times New Roman Regular"/>
          <w:sz w:val="20"/>
          <w:szCs w:val="20"/>
          <w:shd w:val="clear" w:color="auto" w:fill="FFFFFF"/>
        </w:rPr>
        <w:t xml:space="preserve"> collected the relevant data. Tianyu Gao performed the statistical analyses. Tianyu Gao drafted the manuscript. All authors reviewed and revised the manuscript critically read and approved the final manuscript.</w:t>
      </w:r>
    </w:p>
    <w:p>
      <w:pPr>
        <w:spacing w:line="480" w:lineRule="auto"/>
        <w:rPr>
          <w:rFonts w:ascii="Times New Roman Regular" w:hAnsi="Times New Roman Regular" w:cs="Times New Roman Regular"/>
          <w:sz w:val="20"/>
          <w:szCs w:val="20"/>
          <w:lang w:eastAsia="zh-Hans"/>
        </w:rPr>
      </w:pPr>
      <w:r>
        <w:rPr>
          <w:rFonts w:ascii="Times New Roman Regular" w:hAnsi="Times New Roman Regular" w:cs="Times New Roman Regular"/>
          <w:b/>
          <w:bCs/>
          <w:sz w:val="20"/>
          <w:szCs w:val="20"/>
          <w:shd w:val="clear" w:color="auto" w:fill="FFFFFF"/>
          <w:lang w:eastAsia="zh-Hans"/>
        </w:rPr>
        <w:t>Declarations</w:t>
      </w:r>
    </w:p>
    <w:p>
      <w:pPr>
        <w:spacing w:line="480" w:lineRule="auto"/>
        <w:rPr>
          <w:rFonts w:ascii="Times New Roman Regular" w:hAnsi="Times New Roman Regular" w:cs="Times New Roman Regular"/>
          <w:sz w:val="20"/>
          <w:szCs w:val="20"/>
          <w:lang w:eastAsia="zh-Hans"/>
        </w:rPr>
      </w:pPr>
      <w:r>
        <w:rPr>
          <w:rFonts w:ascii="Times New Roman Regular" w:hAnsi="Times New Roman Regular" w:cs="Times New Roman Regular"/>
          <w:b/>
          <w:bCs/>
          <w:sz w:val="20"/>
          <w:szCs w:val="20"/>
          <w:lang w:eastAsia="zh-Hans"/>
        </w:rPr>
        <w:t>Ethics approval</w:t>
      </w:r>
      <w:r>
        <w:rPr>
          <w:rFonts w:ascii="Times New Roman Regular" w:hAnsi="Times New Roman Regular" w:cs="Times New Roman Regular"/>
          <w:sz w:val="20"/>
          <w:szCs w:val="20"/>
          <w:lang w:eastAsia="zh-Hans"/>
        </w:rPr>
        <w:t xml:space="preserve"> Ethics approval was obtained from Peking University Third Hospital Medical Science Research Ethics Committee (IRB00006761-2015243).</w:t>
      </w:r>
    </w:p>
    <w:p>
      <w:pPr>
        <w:spacing w:line="480" w:lineRule="auto"/>
        <w:rPr>
          <w:rFonts w:ascii="Times New Roman Regular" w:hAnsi="Times New Roman Regular" w:cs="Times New Roman Regular"/>
          <w:sz w:val="20"/>
          <w:szCs w:val="20"/>
          <w:lang w:eastAsia="zh-Hans"/>
        </w:rPr>
      </w:pPr>
      <w:r>
        <w:rPr>
          <w:rFonts w:ascii="Times New Roman Regular" w:hAnsi="Times New Roman Regular" w:cs="Times New Roman Regular"/>
          <w:b/>
          <w:bCs/>
          <w:sz w:val="20"/>
          <w:szCs w:val="20"/>
          <w:lang w:eastAsia="zh-Hans"/>
        </w:rPr>
        <w:t xml:space="preserve">Consent to participate </w:t>
      </w:r>
      <w:r>
        <w:rPr>
          <w:rFonts w:ascii="Times New Roman Regular" w:hAnsi="Times New Roman Regular" w:cs="Times New Roman Regular"/>
          <w:sz w:val="20"/>
          <w:szCs w:val="20"/>
          <w:lang w:eastAsia="zh-Hans"/>
        </w:rPr>
        <w:t>Informed consent was obtained from all individual participants included in the study.</w:t>
      </w:r>
    </w:p>
    <w:p>
      <w:pPr>
        <w:spacing w:line="480" w:lineRule="auto"/>
        <w:rPr>
          <w:rFonts w:ascii="Times New Roman Regular" w:hAnsi="Times New Roman Regular" w:cs="Times New Roman Regular"/>
          <w:sz w:val="20"/>
          <w:szCs w:val="20"/>
          <w:lang w:eastAsia="zh-Hans"/>
        </w:rPr>
      </w:pPr>
      <w:r>
        <w:rPr>
          <w:rFonts w:ascii="Times New Roman Regular" w:hAnsi="Times New Roman Regular" w:cs="Times New Roman Regular"/>
          <w:b/>
          <w:bCs/>
          <w:sz w:val="20"/>
          <w:szCs w:val="20"/>
          <w:lang w:eastAsia="zh-Hans"/>
        </w:rPr>
        <w:t>Consent to publish</w:t>
      </w:r>
      <w:r>
        <w:rPr>
          <w:rFonts w:ascii="Times New Roman Regular" w:hAnsi="Times New Roman Regular" w:cs="Times New Roman Regular"/>
          <w:sz w:val="20"/>
          <w:szCs w:val="20"/>
          <w:lang w:eastAsia="zh-Hans"/>
        </w:rPr>
        <w:t xml:space="preserve"> All authors have approved the release of their work to the public.</w:t>
      </w:r>
    </w:p>
    <w:p>
      <w:pPr>
        <w:spacing w:line="480" w:lineRule="auto"/>
        <w:rPr>
          <w:rFonts w:ascii="Times New Roman Regular" w:hAnsi="Times New Roman Regular" w:cs="Times New Roman Regular"/>
          <w:sz w:val="20"/>
          <w:szCs w:val="20"/>
        </w:rPr>
      </w:pPr>
      <w:r>
        <w:rPr>
          <w:rFonts w:ascii="Times New Roman Regular" w:hAnsi="Times New Roman Regular" w:cs="Times New Roman Regular"/>
          <w:b/>
          <w:bCs/>
          <w:sz w:val="20"/>
          <w:szCs w:val="20"/>
          <w:lang w:eastAsia="zh-Hans"/>
        </w:rPr>
        <w:t xml:space="preserve">Conflict of interest </w:t>
      </w:r>
      <w:r>
        <w:rPr>
          <w:rFonts w:ascii="Times New Roman Regular" w:hAnsi="Times New Roman Regular" w:cs="Times New Roman Regular"/>
          <w:sz w:val="20"/>
          <w:szCs w:val="20"/>
          <w:lang w:eastAsia="zh-Hans"/>
        </w:rPr>
        <w:t>The authors declare that the research was conducted in the absence of any commercial or financial relationships that could be construed as a potential conflict of interest.</w:t>
      </w:r>
    </w:p>
    <w:p>
      <w:pPr>
        <w:keepNext w:val="0"/>
        <w:keepLines w:val="0"/>
        <w:pageBreakBefore w:val="0"/>
        <w:widowControl w:val="0"/>
        <w:kinsoku/>
        <w:wordWrap/>
        <w:overflowPunct/>
        <w:topLinePunct w:val="0"/>
        <w:autoSpaceDE/>
        <w:autoSpaceDN/>
        <w:bidi w:val="0"/>
        <w:adjustRightInd/>
        <w:snapToGrid/>
        <w:spacing w:line="480" w:lineRule="auto"/>
        <w:jc w:val="both"/>
        <w:textAlignment w:val="auto"/>
        <w:rPr>
          <w:rFonts w:hint="default" w:ascii="Times New Roman Regular" w:hAnsi="Times New Roman Regular" w:cs="Times New Roman Regular"/>
          <w:b w:val="0"/>
          <w:bCs w:val="0"/>
          <w:sz w:val="20"/>
          <w:szCs w:val="20"/>
          <w:lang w:eastAsia="zh-Hans"/>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6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Times New Roman Regular">
    <w:panose1 w:val="02020603050405020304"/>
    <w:charset w:val="00"/>
    <w:family w:val="auto"/>
    <w:pitch w:val="default"/>
    <w:sig w:usb0="E0002AEF" w:usb1="C0007841" w:usb2="00000009" w:usb3="00000000" w:csb0="400001FF" w:csb1="FFFF0000"/>
  </w:font>
  <w:font w:name="微软雅黑">
    <w:altName w:val="汉仪旗黑"/>
    <w:panose1 w:val="020B0503020204020204"/>
    <w:charset w:val="86"/>
    <w:family w:val="auto"/>
    <w:pitch w:val="default"/>
    <w:sig w:usb0="00000000" w:usb1="00000000" w:usb2="00000016" w:usb3="00000000" w:csb0="0004001F" w:csb1="00000000"/>
  </w:font>
  <w:font w:name="Times New Roman Bold">
    <w:panose1 w:val="02020603050405020304"/>
    <w:charset w:val="00"/>
    <w:family w:val="auto"/>
    <w:pitch w:val="default"/>
    <w:sig w:usb0="E0002AEF" w:usb1="C0007841" w:usb2="00000009" w:usb3="00000000" w:csb0="400001FF" w:csb1="FFFF0000"/>
  </w:font>
  <w:font w:name="汉仪书宋二KW">
    <w:panose1 w:val="00020600040101010101"/>
    <w:charset w:val="86"/>
    <w:family w:val="auto"/>
    <w:pitch w:val="default"/>
    <w:sig w:usb0="A00002BF" w:usb1="18EF7CFA" w:usb2="00000016" w:usb3="00000000" w:csb0="00040000" w:csb1="00000000"/>
  </w:font>
  <w:font w:name="汉仪中黑KW">
    <w:panose1 w:val="00020600040101010101"/>
    <w:charset w:val="86"/>
    <w:family w:val="auto"/>
    <w:pitch w:val="default"/>
    <w:sig w:usb0="A00002BF" w:usb1="18EF7CFA" w:usb2="00000016"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9"/>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FF0EFB71"/>
    <w:rsid w:val="09FE81CE"/>
    <w:rsid w:val="1DB63AB4"/>
    <w:rsid w:val="3BFEA802"/>
    <w:rsid w:val="535E5EE2"/>
    <w:rsid w:val="5DEDE50E"/>
    <w:rsid w:val="5DFB64E6"/>
    <w:rsid w:val="5ED61AE6"/>
    <w:rsid w:val="5FFA157B"/>
    <w:rsid w:val="6EF7BCC8"/>
    <w:rsid w:val="6FFC5D4F"/>
    <w:rsid w:val="73FF4FE9"/>
    <w:rsid w:val="76FD2E20"/>
    <w:rsid w:val="78DFAB0E"/>
    <w:rsid w:val="7AFB6B5A"/>
    <w:rsid w:val="7CDF3872"/>
    <w:rsid w:val="9BBFF574"/>
    <w:rsid w:val="CBBF3B05"/>
    <w:rsid w:val="DBF6B46A"/>
    <w:rsid w:val="DFFEE156"/>
    <w:rsid w:val="EFFF96F4"/>
    <w:rsid w:val="FA7B85AC"/>
    <w:rsid w:val="FEFF0844"/>
    <w:rsid w:val="FF0EFB71"/>
    <w:rsid w:val="FFDF23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6">
    <w:name w:val="Emphasis"/>
    <w:basedOn w:val="5"/>
    <w:qFormat/>
    <w:uiPriority w:val="0"/>
    <w:rPr>
      <w:i/>
    </w:rPr>
  </w:style>
  <w:style w:type="character" w:styleId="7">
    <w:name w:val="Hyperlink"/>
    <w:unhideWhenUsed/>
    <w:qFormat/>
    <w:uiPriority w:val="99"/>
    <w:rPr>
      <w:color w:val="0563C1"/>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Office_6.5.0.8619_F1E327BC-269C-435d-A152-05C5408002CA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2023-09-25T16:16:00Z</dcterms:created>
  <dc:creator>ty</dc:creator>
  <cp:lastModifiedBy>ty</cp:lastModifiedBy>
  <dcterms:modified xsi:type="dcterms:W3CDTF">2024-12-04T00:41:56Z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2052-6.5.0.8619</vt:lpwstr>
  </property>
  <property fmtid="{D5CDD505-2E9C-101B-9397-08002B2CF9AE}" pid="3" name="ICV">
    <vt:lpwstr>E3398657F8B523494D6C0C653D6CE657</vt:lpwstr>
  </property>
</Properties>
</file>