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74CB4">
      <w:pPr>
        <w:keepNext w:val="0"/>
        <w:keepLines w:val="0"/>
        <w:widowControl w:val="0"/>
        <w:suppressLineNumbers w:val="0"/>
        <w:adjustRightInd w:val="0"/>
        <w:snapToGrid w:val="0"/>
        <w:spacing w:before="0" w:beforeAutospacing="0" w:after="0" w:afterAutospacing="0" w:line="480" w:lineRule="auto"/>
        <w:ind w:left="0" w:right="0"/>
        <w:jc w:val="both"/>
        <w:rPr>
          <w:rFonts w:hint="default" w:ascii="Times New Roman Bold" w:hAnsi="Times New Roman Bold" w:cs="Times New Roman Bold"/>
          <w:b/>
          <w:bCs/>
          <w:sz w:val="24"/>
          <w:szCs w:val="24"/>
          <w:lang w:val="en-US" w:eastAsia="zh-CN"/>
        </w:rPr>
      </w:pPr>
      <w:r>
        <w:rPr>
          <w:rFonts w:hint="default" w:ascii="Times New Roman" w:hAnsi="Times New Roman" w:eastAsia="等线" w:cs="Times New Roman"/>
          <w:b/>
          <w:bCs/>
          <w:color w:val="000000"/>
          <w:kern w:val="0"/>
          <w:sz w:val="24"/>
          <w:szCs w:val="24"/>
          <w:lang w:val="en-US" w:eastAsia="zh-CN" w:bidi="ar"/>
        </w:rPr>
        <w:t>File S2:</w:t>
      </w:r>
      <w:r>
        <w:rPr>
          <w:rFonts w:hint="default" w:ascii="Times New Roman" w:hAnsi="Times New Roman" w:eastAsia="等线" w:cs="Times New Roman"/>
          <w:color w:val="000000"/>
          <w:kern w:val="0"/>
          <w:sz w:val="24"/>
          <w:szCs w:val="24"/>
          <w:lang w:val="en-US" w:eastAsia="zh-CN" w:bidi="ar"/>
        </w:rPr>
        <w:t xml:space="preserve"> A further review of all the outcome measures</w:t>
      </w:r>
      <w:bookmarkStart w:id="0" w:name="_GoBack"/>
      <w:bookmarkEnd w:id="0"/>
    </w:p>
    <w:p w14:paraId="713EB0F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Cobb angle</w:t>
      </w:r>
    </w:p>
    <w:p w14:paraId="5D9FE01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t>The Cobb method is used to measure the degree of scoliosis on the posteroanterior radiograph.The Cobb angle is the angle between the lines drawn perpendicular to the endplates first and last vertebrae involved in the curvature[1]. The Cobb angle is the gold standard for assessing the severity and treatment efficacy of scoliosis[2].</w:t>
      </w:r>
      <w:r>
        <w:rPr>
          <w:rFonts w:hint="eastAsia" w:ascii="Times New Roman Regular" w:hAnsi="Times New Roman Regular" w:cs="Times New Roman Regular"/>
          <w:sz w:val="22"/>
          <w:szCs w:val="22"/>
          <w:lang w:val="en-US" w:eastAsia="zh-CN"/>
        </w:rPr>
        <w:t xml:space="preserve"> </w:t>
      </w:r>
      <w:r>
        <w:rPr>
          <w:rFonts w:hint="default" w:ascii="Times New Roman Regular" w:hAnsi="Times New Roman Regular" w:cs="Times New Roman Regular"/>
          <w:sz w:val="22"/>
          <w:szCs w:val="22"/>
          <w:lang w:val="en-US" w:eastAsia="zh-CN"/>
        </w:rPr>
        <w:t>The Scoliosis Research Society (SRS) suggests that the diagnosis is confirmed when the Cobb angle is 10°or higher and axial rotation can be recognized. The clinical standard for patient regression curves is &gt;5˚[3], therefore, any change of ≤5˚ was not considered as a genuine improvement.</w:t>
      </w:r>
    </w:p>
    <w:p w14:paraId="4DA24CC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4"/>
          <w:szCs w:val="24"/>
          <w:lang w:val="en-US" w:eastAsia="zh-CN"/>
        </w:rPr>
      </w:pPr>
    </w:p>
    <w:p w14:paraId="33A17F8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Bold" w:hAnsi="Times New Roman Bold" w:cs="Times New Roman Bold"/>
          <w:b/>
          <w:bCs/>
          <w:sz w:val="24"/>
          <w:szCs w:val="24"/>
          <w:lang w:val="en-US" w:eastAsia="zh-CN"/>
        </w:rPr>
      </w:pPr>
      <w:r>
        <w:rPr>
          <w:rFonts w:hint="eastAsia" w:ascii="Times New Roman Bold" w:hAnsi="Times New Roman Bold" w:cs="Times New Roman Bold"/>
          <w:b/>
          <w:bCs/>
          <w:sz w:val="24"/>
          <w:szCs w:val="24"/>
          <w:lang w:val="en-US" w:eastAsia="zh-CN"/>
        </w:rPr>
        <w:t>Angle of trunk rotation(ATR)</w:t>
      </w:r>
    </w:p>
    <w:p w14:paraId="41CCE93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The angle of trunk rotation was measured with the scoliometer. The maximum rotation angles in the spine were recorded when the patients were in the forward bending position (the maximum angle of trunk rotation was recorded).The scoliometer is an instrument that measures axial trunk rotation in individuals with scoliosis. Scoliometer measurements were correlated with radiographic assessment of vertebral (pedicle) rotation ranged from 0.32 to 0.46  and from 0.46 to 0.54 with the Cobb angle. Frequency analysis revealed relatively good specificity, sensitivity, and predictive capability of the Scoliometer. Intrarater and interrater reliability coefficients were high (r = 0.86 - 0.97). These results indicate good measurement reproducibility[4]. Coehlo et al. showed that the correlation between the</w:t>
      </w:r>
    </w:p>
    <w:p w14:paraId="350AD7F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scoliometer measurements and radiograph analyses was good (r = 0.7, p &lt; 0.05). The highest sensitivity value was for a trunk rotation of 5º at 87%[5].</w:t>
      </w:r>
    </w:p>
    <w:p w14:paraId="18B6DC1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4"/>
          <w:szCs w:val="24"/>
          <w:lang w:val="en-US" w:eastAsia="zh-CN"/>
        </w:rPr>
      </w:pPr>
    </w:p>
    <w:p w14:paraId="1633840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Bold" w:hAnsi="Times New Roman Bold" w:cs="Times New Roman Bold"/>
          <w:b/>
          <w:bCs/>
          <w:sz w:val="24"/>
          <w:szCs w:val="24"/>
          <w:lang w:val="en-US" w:eastAsia="zh-CN"/>
        </w:rPr>
      </w:pPr>
      <w:r>
        <w:rPr>
          <w:rFonts w:hint="eastAsia" w:ascii="Times New Roman Bold" w:hAnsi="Times New Roman Bold" w:cs="Times New Roman Bold"/>
          <w:b/>
          <w:bCs/>
          <w:sz w:val="24"/>
          <w:szCs w:val="24"/>
          <w:lang w:val="en-US" w:eastAsia="zh-CN"/>
        </w:rPr>
        <w:t>Apical vertebral rotation(AVR)</w:t>
      </w:r>
    </w:p>
    <w:p w14:paraId="4D18683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default" w:ascii="Times New Roman" w:hAnsi="Times New Roman" w:cs="Times New Roman"/>
          <w:b w:val="0"/>
          <w:bCs w:val="0"/>
          <w:sz w:val="22"/>
          <w:szCs w:val="22"/>
          <w:lang w:val="en-US" w:eastAsia="zh-CN"/>
        </w:rPr>
        <w:t>T</w:t>
      </w:r>
      <w:r>
        <w:rPr>
          <w:rFonts w:hint="default" w:ascii="Times New Roman" w:hAnsi="Times New Roman" w:cs="Times New Roman"/>
          <w:sz w:val="22"/>
          <w:szCs w:val="22"/>
          <w:lang w:val="en-US" w:eastAsia="zh-CN"/>
        </w:rPr>
        <w:t>he degree of axial rotation was assessed using the Nash-Moe index</w:t>
      </w:r>
      <w:r>
        <w:rPr>
          <w:rFonts w:hint="eastAsia" w:ascii="Times New Roman" w:hAnsi="Times New Roman" w:cs="Times New Roman"/>
          <w:sz w:val="22"/>
          <w:szCs w:val="22"/>
          <w:lang w:val="en-US" w:eastAsia="zh-CN"/>
        </w:rPr>
        <w:t>. The Nash - Moe index was proposed by Nash and Moe in 1969. It assesses vertebral rotation through the degree of pedicle position deviation in the anteroposterior X - ray film. According to the position of the pedicle within the vertebral body, the degree of rotation is divided into 5 grades[6-7]:</w:t>
      </w:r>
    </w:p>
    <w:p w14:paraId="4A4AA52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Grade 0: The bilateral pedicles are symmetrical with no rotation；</w:t>
      </w:r>
    </w:p>
    <w:p w14:paraId="05A4903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Grade 1: The pedicle on the convex side deviates towards the mid - line but does not exceed one - third of the distance from the mid - line of the vertebral body to the convex edge; part of the pedicle on the concave side is visible; </w:t>
      </w:r>
    </w:p>
    <w:p w14:paraId="1557AF8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Grade 2: The pedicle on the convex side moves to two - thirds of the distance between the mid - line and the convex edge; the pedicle on the concave side almost disappears; </w:t>
      </w:r>
    </w:p>
    <w:p w14:paraId="31FA40C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Grade 3: The pedicle on the convex side moves to the mid - line of the vertebral body; the pedicle on the concave side completely disappears; </w:t>
      </w:r>
    </w:p>
    <w:p w14:paraId="15CB480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Grade 4: The pedicle on the convex side exceeds the mid - line and enters the concave area; the pedicle on the concave side is not visible.</w:t>
      </w:r>
    </w:p>
    <w:p w14:paraId="0100E34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sz w:val="22"/>
          <w:szCs w:val="22"/>
          <w:lang w:val="en-US" w:eastAsia="zh-CN"/>
        </w:rPr>
        <w:t>The Nash - Moe method is widely used to evaluate the apical vertebral rotation and the correction of deformities in the axial plane [8-10] .</w:t>
      </w:r>
    </w:p>
    <w:p w14:paraId="1A45457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b w:val="0"/>
          <w:bCs w:val="0"/>
          <w:sz w:val="24"/>
          <w:szCs w:val="24"/>
          <w:lang w:val="en-US" w:eastAsia="zh-CN"/>
        </w:rPr>
      </w:pPr>
    </w:p>
    <w:p w14:paraId="30122AB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Bold" w:hAnsi="Times New Roman Bold" w:cs="Times New Roman Bold"/>
          <w:b/>
          <w:bCs/>
          <w:sz w:val="24"/>
          <w:szCs w:val="24"/>
          <w:lang w:val="en-US" w:eastAsia="zh-CN"/>
        </w:rPr>
      </w:pPr>
      <w:r>
        <w:rPr>
          <w:rFonts w:hint="eastAsia" w:ascii="Times New Roman Bold" w:hAnsi="Times New Roman Bold" w:cs="Times New Roman Bold"/>
          <w:b/>
          <w:bCs/>
          <w:sz w:val="24"/>
          <w:szCs w:val="24"/>
          <w:lang w:val="en-US" w:eastAsia="zh-CN"/>
        </w:rPr>
        <w:t>Scoliosis Research Society-22 questionnaire(SRS-22)</w:t>
      </w:r>
    </w:p>
    <w:p w14:paraId="66F3F7B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t>Quality of life was evaluated by the Scoliosis Research Society-22 questionnaire.The questionnaire contains 20 questions distributed in 4 dimensions (function/activity, pain, self-perceived image, and mental health) and 2 additional questions about the patient’s satisfaction with the treatment received. Each dimension has five items, except for satisfaction, which has two items. Each item is scored from 1 (worst possible) to 5 (best possible). Each dimension has a total sum score ranging from 5 to 25, except satisfaction, whose sum score ranges from 2 to 10. Results are expressed as the mean of each dimension. A subtotal sum score of the 4 scales with a range of 20–100 can be obtained, but the usual practice is to calculate the mean. With addition of the 2 questions on satisfaction, the overall score ranges from 22 to 110. The SRS-22 has been translated, culturally adapted, and validated in several languages and has been widely distributed worldwide [1</w:t>
      </w:r>
      <w:r>
        <w:rPr>
          <w:rFonts w:hint="eastAsia" w:ascii="Times New Roman Regular" w:hAnsi="Times New Roman Regular" w:cs="Times New Roman Regular"/>
          <w:sz w:val="22"/>
          <w:szCs w:val="22"/>
          <w:lang w:val="en-US" w:eastAsia="zh-CN"/>
        </w:rPr>
        <w:t>1</w:t>
      </w:r>
      <w:r>
        <w:rPr>
          <w:rFonts w:hint="default" w:ascii="Times New Roman Regular" w:hAnsi="Times New Roman Regular" w:cs="Times New Roman Regular"/>
          <w:sz w:val="22"/>
          <w:szCs w:val="22"/>
          <w:lang w:val="en-US" w:eastAsia="zh-CN"/>
        </w:rPr>
        <w:t xml:space="preserve">] . </w:t>
      </w:r>
    </w:p>
    <w:p w14:paraId="151A890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0"/>
          <w:szCs w:val="20"/>
          <w:lang w:val="en-US" w:eastAsia="zh-CN"/>
        </w:rPr>
      </w:pPr>
      <w:r>
        <w:rPr>
          <w:rFonts w:hint="default" w:ascii="Times New Roman Regular" w:hAnsi="Times New Roman Regular" w:cs="Times New Roman Regular"/>
          <w:sz w:val="22"/>
          <w:szCs w:val="22"/>
          <w:lang w:val="en-US" w:eastAsia="zh-CN"/>
        </w:rPr>
        <w:t>The SRS-22 HRQL questionnaire is reliable with great internal consistency and reproducibility. The internal consistency (Cronbach alpha) is 0.92 to 0.75, and reproducibility (intraclass correlation coefficient) is 0.96 to 0.85. Concurrent validity, determined by Pearson Correlation Coefficients between SRS-22 and SF-36 domains, was 0.70 or greater (</w:t>
      </w:r>
      <w:r>
        <w:rPr>
          <w:rFonts w:hint="default" w:ascii="Times New Roman Regular" w:hAnsi="Times New Roman Regular" w:cs="Times New Roman Regular"/>
          <w:i/>
          <w:iCs/>
          <w:sz w:val="22"/>
          <w:szCs w:val="22"/>
          <w:lang w:val="en-US" w:eastAsia="zh-CN"/>
        </w:rPr>
        <w:t xml:space="preserve">P </w:t>
      </w:r>
      <w:r>
        <w:rPr>
          <w:rFonts w:hint="default" w:ascii="Times New Roman Regular" w:hAnsi="Times New Roman Regular" w:cs="Times New Roman Regular"/>
          <w:sz w:val="22"/>
          <w:szCs w:val="22"/>
          <w:lang w:val="en-US" w:eastAsia="zh-CN"/>
        </w:rPr>
        <w:t>&lt; 0.0001) for 17 relevant comparisons [</w:t>
      </w:r>
      <w:r>
        <w:rPr>
          <w:rFonts w:hint="eastAsia" w:ascii="Times New Roman Regular" w:hAnsi="Times New Roman Regular" w:cs="Times New Roman Regular"/>
          <w:sz w:val="22"/>
          <w:szCs w:val="22"/>
          <w:lang w:val="en-US" w:eastAsia="zh-CN"/>
        </w:rPr>
        <w:t>1</w:t>
      </w:r>
      <w:r>
        <w:rPr>
          <w:rFonts w:hint="default" w:ascii="Times New Roman Regular" w:hAnsi="Times New Roman Regular" w:cs="Times New Roman Regular"/>
          <w:sz w:val="22"/>
          <w:szCs w:val="22"/>
          <w:lang w:val="en-US" w:eastAsia="zh-CN"/>
        </w:rPr>
        <w:t>2].</w:t>
      </w:r>
    </w:p>
    <w:p w14:paraId="0C58FA1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4"/>
          <w:szCs w:val="24"/>
          <w:lang w:val="en-US" w:eastAsia="zh-CN"/>
        </w:rPr>
      </w:pPr>
    </w:p>
    <w:p w14:paraId="0154B4AE">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sz w:val="24"/>
          <w:szCs w:val="24"/>
          <w:lang w:val="en-US" w:eastAsia="zh-CN"/>
        </w:rPr>
      </w:pPr>
      <w:r>
        <w:rPr>
          <w:rFonts w:hint="eastAsia" w:ascii="Times New Roman Bold" w:hAnsi="Times New Roman Bold" w:cs="Times New Roman Bold"/>
          <w:b/>
          <w:bCs/>
          <w:sz w:val="24"/>
          <w:szCs w:val="24"/>
          <w:lang w:val="en-US" w:eastAsia="zh-CN"/>
        </w:rPr>
        <w:t>Walter Reed Visual Assessment Scale(WRVAS)</w:t>
      </w:r>
    </w:p>
    <w:p w14:paraId="0862D53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4"/>
          <w:szCs w:val="24"/>
          <w:lang w:val="en-US" w:eastAsia="zh-CN"/>
        </w:rPr>
      </w:pPr>
      <w:r>
        <w:rPr>
          <w:rFonts w:hint="default" w:ascii="Times New Roman Regular" w:hAnsi="Times New Roman Regular" w:cs="Times New Roman Regular"/>
          <w:sz w:val="22"/>
          <w:szCs w:val="22"/>
          <w:lang w:val="en-US" w:eastAsia="zh-CN"/>
        </w:rPr>
        <w:t>In 2003, Sanders et al. [</w:t>
      </w:r>
      <w:r>
        <w:rPr>
          <w:rFonts w:hint="eastAsia" w:ascii="Times New Roman Regular" w:hAnsi="Times New Roman Regular" w:cs="Times New Roman Regular"/>
          <w:sz w:val="22"/>
          <w:szCs w:val="22"/>
          <w:lang w:val="en-US" w:eastAsia="zh-CN"/>
        </w:rPr>
        <w:t>13</w:t>
      </w:r>
      <w:r>
        <w:rPr>
          <w:rFonts w:hint="default" w:ascii="Times New Roman Regular" w:hAnsi="Times New Roman Regular" w:cs="Times New Roman Regular"/>
          <w:sz w:val="22"/>
          <w:szCs w:val="22"/>
          <w:lang w:val="en-US" w:eastAsia="zh-CN"/>
        </w:rPr>
        <w:t>] from the Spine Deformities Study Group devised a pictorial scale that patients could use to express how they perceive their deformity. The scale, known as the Walter-Reed Visual Assessment Scale (WRVAS), includes seven items that deal with various aspects of the deformity: spinal deformity, rib prominence, lumbar prominence, thoracic deformity, trunk imbalance, shoulder asymmetry, and scapular asymmetry. Each item has a set of five standardized drawings that represent degrees of severity of the aspect in question. Each item is scored from 1 to 5, with higher scores reflecting worsening deformity</w:t>
      </w:r>
      <w:r>
        <w:rPr>
          <w:rFonts w:hint="eastAsia" w:ascii="Times New Roman Regular" w:hAnsi="Times New Roman Regular" w:cs="Times New Roman Regular"/>
          <w:sz w:val="22"/>
          <w:szCs w:val="22"/>
          <w:lang w:val="en-US" w:eastAsia="zh-CN"/>
        </w:rPr>
        <w:t xml:space="preserve">. </w:t>
      </w:r>
      <w:r>
        <w:rPr>
          <w:rFonts w:hint="default" w:ascii="Times New Roman Regular" w:hAnsi="Times New Roman Regular" w:cs="Times New Roman Regular"/>
          <w:sz w:val="22"/>
          <w:szCs w:val="22"/>
          <w:lang w:val="en-US" w:eastAsia="zh-CN"/>
        </w:rPr>
        <w:t>The patients’ responses to WRVAS correlate well with those of their parents(Spearman's rho = 0.8), and the scores correlate with the magnitude of the scoliotic curve(</w:t>
      </w:r>
      <w:r>
        <w:rPr>
          <w:rFonts w:hint="default" w:ascii="Times New Roman Regular" w:hAnsi="Times New Roman Regular" w:cs="Times New Roman Regular"/>
          <w:i/>
          <w:iCs/>
          <w:sz w:val="22"/>
          <w:szCs w:val="22"/>
          <w:lang w:val="en-US" w:eastAsia="zh-CN"/>
        </w:rPr>
        <w:t>P</w:t>
      </w:r>
      <w:r>
        <w:rPr>
          <w:rFonts w:hint="default" w:ascii="Times New Roman Regular" w:hAnsi="Times New Roman Regular" w:cs="Times New Roman Regular"/>
          <w:sz w:val="22"/>
          <w:szCs w:val="22"/>
          <w:lang w:val="en-US" w:eastAsia="zh-CN"/>
        </w:rPr>
        <w:t xml:space="preserve"> = 0.01) .It has been widely used to assess the deformity perception in scoliosis[</w:t>
      </w:r>
      <w:r>
        <w:rPr>
          <w:rFonts w:hint="eastAsia" w:ascii="Times New Roman Regular" w:hAnsi="Times New Roman Regular" w:cs="Times New Roman Regular"/>
          <w:sz w:val="22"/>
          <w:szCs w:val="22"/>
          <w:lang w:val="en-US" w:eastAsia="zh-CN"/>
        </w:rPr>
        <w:t>14-17</w:t>
      </w:r>
      <w:r>
        <w:rPr>
          <w:rFonts w:hint="default" w:ascii="Times New Roman Regular" w:hAnsi="Times New Roman Regular" w:cs="Times New Roman Regular"/>
          <w:sz w:val="22"/>
          <w:szCs w:val="22"/>
          <w:lang w:val="en-US" w:eastAsia="zh-CN"/>
        </w:rPr>
        <w:t>].</w:t>
      </w:r>
    </w:p>
    <w:p w14:paraId="60AAFEA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cs="Times New Roman"/>
          <w:sz w:val="24"/>
          <w:szCs w:val="24"/>
          <w:lang w:val="en-US" w:eastAsia="zh-CN"/>
        </w:rPr>
      </w:pPr>
    </w:p>
    <w:p w14:paraId="0B5B5B3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Bold" w:hAnsi="Times New Roman Bold" w:cs="Times New Roman Bold"/>
          <w:b/>
          <w:bCs/>
          <w:sz w:val="24"/>
          <w:szCs w:val="24"/>
          <w:lang w:val="en-US" w:eastAsia="zh-CN"/>
        </w:rPr>
      </w:pPr>
      <w:r>
        <w:rPr>
          <w:rFonts w:hint="eastAsia" w:ascii="Times New Roman Bold" w:hAnsi="Times New Roman Bold" w:cs="Times New Roman Bold"/>
          <w:b/>
          <w:bCs/>
          <w:sz w:val="24"/>
          <w:szCs w:val="24"/>
          <w:lang w:val="en-US" w:eastAsia="zh-CN"/>
        </w:rPr>
        <w:t>Posterior Trunk Symmetry Index(POTSI)</w:t>
      </w:r>
    </w:p>
    <w:p w14:paraId="0586A40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Regular" w:hAnsi="Times New Roman Regular" w:cs="Times New Roman Regular"/>
          <w:sz w:val="22"/>
          <w:szCs w:val="22"/>
          <w:lang w:val="en-US" w:eastAsia="zh-CN"/>
        </w:rPr>
      </w:pPr>
      <w:r>
        <w:rPr>
          <w:rFonts w:hint="default" w:ascii="Times New Roman Regular" w:hAnsi="Times New Roman Regular" w:eastAsia="宋体" w:cs="Times New Roman Regular"/>
          <w:kern w:val="2"/>
          <w:sz w:val="22"/>
          <w:szCs w:val="22"/>
          <w:lang w:val="en-US" w:eastAsia="zh-CN" w:bidi="ar"/>
        </w:rPr>
        <w:t xml:space="preserve">POTSI is a two-dimensional surface topographic map method to assess the asymmetry of the trunk. </w:t>
      </w:r>
      <w:r>
        <w:rPr>
          <w:rFonts w:hint="default" w:ascii="Times New Roman Regular" w:hAnsi="Times New Roman Regular" w:cs="Times New Roman Regular"/>
          <w:sz w:val="22"/>
          <w:szCs w:val="22"/>
          <w:lang w:val="en-US" w:eastAsia="zh-CN"/>
        </w:rPr>
        <w:t>POTSI is the sum of two variables: height asymmetry indices (HAI) and frontal asymmetry indices (FAI). HAI is obtained as the sum of height differences of the shoulders (distance F), axillary folds (distance G), and waist creases (distance H) and it is normalized with the division of its value by the distance I (the vertical distance from the C7 vertebra to the baseline of the gluteal cleft). To determine FAI, the differences in horizontal distance with respect to the gluteal cleft, of C7 vertebra (distance A), axillary folds (B–C), and waist (D–E), are obtained and their sum is calculated, also normalized by dividing them by distance I</w:t>
      </w:r>
      <w:r>
        <w:rPr>
          <w:rFonts w:hint="eastAsia" w:ascii="Times New Roman Regular" w:hAnsi="Times New Roman Regular" w:cs="Times New Roman Regular"/>
          <w:sz w:val="22"/>
          <w:szCs w:val="22"/>
          <w:lang w:val="en-US" w:eastAsia="zh-CN"/>
        </w:rPr>
        <w:t>(Figure 1)</w:t>
      </w:r>
      <w:r>
        <w:rPr>
          <w:rFonts w:hint="default" w:ascii="Times New Roman Regular" w:hAnsi="Times New Roman Regular" w:cs="Times New Roman Regular"/>
          <w:sz w:val="22"/>
          <w:szCs w:val="22"/>
          <w:lang w:val="en-US" w:eastAsia="zh-CN"/>
        </w:rPr>
        <w:t>[</w:t>
      </w:r>
      <w:r>
        <w:rPr>
          <w:rFonts w:hint="eastAsia" w:ascii="Times New Roman Regular" w:hAnsi="Times New Roman Regular" w:cs="Times New Roman Regular"/>
          <w:sz w:val="22"/>
          <w:szCs w:val="22"/>
          <w:lang w:val="en-US" w:eastAsia="zh-CN"/>
        </w:rPr>
        <w:t>18-19</w:t>
      </w:r>
      <w:r>
        <w:rPr>
          <w:rFonts w:hint="default" w:ascii="Times New Roman Regular" w:hAnsi="Times New Roman Regular" w:cs="Times New Roman Regular"/>
          <w:sz w:val="22"/>
          <w:szCs w:val="22"/>
          <w:lang w:val="en-US" w:eastAsia="zh-CN"/>
        </w:rPr>
        <w:t>].It has been widely used to assess the asymmetry of the trunk in scoliosis[</w:t>
      </w:r>
      <w:r>
        <w:rPr>
          <w:rFonts w:hint="eastAsia" w:ascii="Times New Roman Regular" w:hAnsi="Times New Roman Regular" w:cs="Times New Roman Regular"/>
          <w:sz w:val="22"/>
          <w:szCs w:val="22"/>
          <w:lang w:val="en-US" w:eastAsia="zh-CN"/>
        </w:rPr>
        <w:t>20-22</w:t>
      </w:r>
      <w:r>
        <w:rPr>
          <w:rFonts w:hint="default" w:ascii="Times New Roman Regular" w:hAnsi="Times New Roman Regular" w:cs="Times New Roman Regular"/>
          <w:sz w:val="22"/>
          <w:szCs w:val="22"/>
          <w:lang w:val="en-US" w:eastAsia="zh-CN"/>
        </w:rPr>
        <w:t>].</w:t>
      </w:r>
    </w:p>
    <w:p w14:paraId="03C5238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Regular" w:hAnsi="Times New Roman Regular" w:cs="Times New Roman Regular"/>
          <w:sz w:val="22"/>
          <w:szCs w:val="22"/>
          <w:lang w:val="en-US" w:eastAsia="zh-CN"/>
        </w:rPr>
      </w:pPr>
    </w:p>
    <w:p w14:paraId="1D8C9B2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Regular" w:hAnsi="Times New Roman Regular" w:cs="Times New Roman Regular"/>
          <w:sz w:val="20"/>
          <w:szCs w:val="20"/>
          <w:lang w:val="en-US" w:eastAsia="zh-CN"/>
        </w:rPr>
      </w:pPr>
      <w:r>
        <w:rPr>
          <w:rFonts w:hint="default" w:ascii="Times New Roman Regular" w:hAnsi="Times New Roman Regular" w:cs="Times New Roman Regular"/>
          <w:sz w:val="20"/>
          <w:szCs w:val="20"/>
          <w:lang w:val="en-US" w:eastAsia="zh-CN"/>
        </w:rPr>
        <w:drawing>
          <wp:inline distT="0" distB="0" distL="114300" distR="114300">
            <wp:extent cx="2263775" cy="3341370"/>
            <wp:effectExtent l="0" t="0" r="22225" b="11430"/>
            <wp:docPr id="1" name="图片 1" descr="图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像(1)"/>
                    <pic:cNvPicPr>
                      <a:picLocks noChangeAspect="1"/>
                    </pic:cNvPicPr>
                  </pic:nvPicPr>
                  <pic:blipFill>
                    <a:blip r:embed="rId4"/>
                    <a:stretch>
                      <a:fillRect/>
                    </a:stretch>
                  </pic:blipFill>
                  <pic:spPr>
                    <a:xfrm>
                      <a:off x="0" y="0"/>
                      <a:ext cx="2263775" cy="3341370"/>
                    </a:xfrm>
                    <a:prstGeom prst="rect">
                      <a:avLst/>
                    </a:prstGeom>
                  </pic:spPr>
                </pic:pic>
              </a:graphicData>
            </a:graphic>
          </wp:inline>
        </w:drawing>
      </w:r>
    </w:p>
    <w:p w14:paraId="4C6C6AF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s="Times New Roman"/>
          <w:sz w:val="24"/>
          <w:szCs w:val="24"/>
          <w:lang w:val="en-US" w:eastAsia="zh-CN"/>
        </w:rPr>
      </w:pPr>
      <w:r>
        <w:rPr>
          <w:rFonts w:hint="eastAsia" w:ascii="Times New Roman Regular" w:hAnsi="Times New Roman Regular" w:cs="Times New Roman Regular"/>
          <w:sz w:val="20"/>
          <w:szCs w:val="20"/>
          <w:lang w:val="en-US" w:eastAsia="zh-CN"/>
        </w:rPr>
        <w:t>Figure 1</w:t>
      </w:r>
    </w:p>
    <w:p w14:paraId="4BAAF6A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Bold" w:hAnsi="Times New Roman Bold" w:cs="Times New Roman Bold"/>
          <w:b/>
          <w:bCs/>
          <w:sz w:val="24"/>
          <w:szCs w:val="24"/>
          <w:lang w:val="en-US" w:eastAsia="zh-CN"/>
        </w:rPr>
      </w:pPr>
    </w:p>
    <w:p w14:paraId="4BAB828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Bold" w:hAnsi="Times New Roman Bold" w:cs="Times New Roman Bold"/>
          <w:b/>
          <w:bCs/>
          <w:sz w:val="24"/>
          <w:szCs w:val="24"/>
          <w:lang w:val="en-US" w:eastAsia="zh-CN"/>
        </w:rPr>
      </w:pPr>
      <w:r>
        <w:rPr>
          <w:rFonts w:hint="eastAsia" w:ascii="Times New Roman Bold" w:hAnsi="Times New Roman Bold" w:cs="Times New Roman Bold"/>
          <w:b/>
          <w:bCs/>
          <w:sz w:val="24"/>
          <w:szCs w:val="24"/>
          <w:lang w:val="en-US" w:eastAsia="zh-CN"/>
        </w:rPr>
        <w:t>Pulmonary functions(</w:t>
      </w:r>
      <w:r>
        <w:rPr>
          <w:rFonts w:hint="default" w:ascii="Times New Roman" w:hAnsi="Times New Roman" w:cs="Times New Roman"/>
          <w:b/>
          <w:bCs/>
          <w:sz w:val="22"/>
          <w:szCs w:val="22"/>
          <w:lang w:val="en-US" w:eastAsia="zh-CN"/>
        </w:rPr>
        <w:t>FVC</w:t>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val="en-US" w:eastAsia="zh-CN"/>
        </w:rPr>
        <w:t>FEV1</w:t>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val="en-US" w:eastAsia="zh-CN"/>
        </w:rPr>
        <w:t>FEV1/FVC</w:t>
      </w:r>
      <w:r>
        <w:rPr>
          <w:rFonts w:hint="eastAsia" w:ascii="Times New Roman Bold" w:hAnsi="Times New Roman Bold" w:cs="Times New Roman Bold"/>
          <w:b/>
          <w:bCs/>
          <w:sz w:val="24"/>
          <w:szCs w:val="24"/>
          <w:lang w:val="en-US" w:eastAsia="zh-CN"/>
        </w:rPr>
        <w:t>)</w:t>
      </w:r>
    </w:p>
    <w:p w14:paraId="65ABDF4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Regular" w:hAnsi="Times New Roman Regular" w:cs="Times New Roman Regular"/>
          <w:b w:val="0"/>
          <w:bCs w:val="0"/>
          <w:sz w:val="22"/>
          <w:szCs w:val="22"/>
          <w:lang w:val="en-US" w:eastAsia="zh-CN"/>
        </w:rPr>
      </w:pPr>
      <w:r>
        <w:rPr>
          <w:rFonts w:hint="default" w:ascii="Times New Roman Regular" w:hAnsi="Times New Roman Regular" w:cs="Times New Roman Regular"/>
          <w:b w:val="0"/>
          <w:bCs w:val="0"/>
          <w:sz w:val="22"/>
          <w:szCs w:val="22"/>
          <w:lang w:val="en-US" w:eastAsia="zh-CN"/>
        </w:rPr>
        <w:t>FVC, FEV1, and FEV1/FVC are important indicators in pulmonary function tests, which are of great clinical significance for the diagnosis, disease assessment, and treatment monitoring of respiratory diseases. FVC (Forced Vital Capacity) refers to the maximum volume of air that can be exhaled with the fastest and maximum effort after a maximum inhalation. It reflects the maximum capacity of the lungs for a single ventilation.FEV1 (Forced Expiratory Volume in One Second) is the volume of air exhaled within the first second during the determination of forced vital capacity. FEV1 can reflect the patency of the airways and the elasticity of the lung tissue.FEV1/FVC, that is, the ratio of the forced expiratory volume in one second to the forced vital capacity, is an important indicator for evaluating airflow limitation. It is commonly used in the diagnosis and severity grading of respiratory diseases such as chronic obstructive pulmonary disease (COPD)</w:t>
      </w:r>
      <w:r>
        <w:rPr>
          <w:rFonts w:hint="default" w:ascii="Times New Roman Regular" w:hAnsi="Times New Roman Regular" w:cs="Times New Roman Regular"/>
          <w:sz w:val="22"/>
          <w:szCs w:val="22"/>
          <w:lang w:val="en-US" w:eastAsia="zh-CN"/>
        </w:rPr>
        <w:t>[</w:t>
      </w:r>
      <w:r>
        <w:rPr>
          <w:rFonts w:hint="eastAsia" w:ascii="Times New Roman Regular" w:hAnsi="Times New Roman Regular" w:cs="Times New Roman Regular"/>
          <w:sz w:val="22"/>
          <w:szCs w:val="22"/>
          <w:lang w:val="en-US" w:eastAsia="zh-CN"/>
        </w:rPr>
        <w:t>23</w:t>
      </w:r>
      <w:r>
        <w:rPr>
          <w:rFonts w:hint="default" w:ascii="Times New Roman Regular" w:hAnsi="Times New Roman Regular" w:cs="Times New Roman Regular"/>
          <w:sz w:val="22"/>
          <w:szCs w:val="22"/>
          <w:lang w:val="en-US" w:eastAsia="zh-CN"/>
        </w:rPr>
        <w:t>].</w:t>
      </w:r>
      <w:r>
        <w:rPr>
          <w:rFonts w:hint="eastAsia" w:ascii="Times New Roman Regular" w:hAnsi="Times New Roman Regular" w:cs="Times New Roman Regular"/>
          <w:sz w:val="22"/>
          <w:szCs w:val="22"/>
          <w:lang w:val="en-US" w:eastAsia="zh-CN"/>
        </w:rPr>
        <w:t xml:space="preserve"> It has been widely used to assess </w:t>
      </w:r>
      <w:r>
        <w:rPr>
          <w:rFonts w:hint="default" w:ascii="Times New Roman Regular" w:hAnsi="Times New Roman Regular" w:cs="Times New Roman Regular"/>
          <w:b w:val="0"/>
          <w:bCs w:val="0"/>
          <w:sz w:val="22"/>
          <w:szCs w:val="22"/>
          <w:lang w:val="en-US" w:eastAsia="zh-CN"/>
        </w:rPr>
        <w:t>pulmonary function</w:t>
      </w:r>
      <w:r>
        <w:rPr>
          <w:rFonts w:hint="eastAsia" w:ascii="Times New Roman Regular" w:hAnsi="Times New Roman Regular" w:cs="Times New Roman Regular"/>
          <w:sz w:val="22"/>
          <w:szCs w:val="22"/>
          <w:lang w:val="en-US" w:eastAsia="zh-CN"/>
        </w:rPr>
        <w:t xml:space="preserve"> in scoliosis[24-25].</w:t>
      </w:r>
    </w:p>
    <w:p w14:paraId="796454F3">
      <w:pPr>
        <w:rPr>
          <w:rFonts w:hint="eastAsia" w:ascii="Times New Roman" w:hAnsi="Times New Roman" w:cs="Times New Roman"/>
          <w:sz w:val="24"/>
          <w:szCs w:val="24"/>
          <w:lang w:val="en-US" w:eastAsia="zh-CN"/>
        </w:rPr>
      </w:pPr>
    </w:p>
    <w:p w14:paraId="6AFDD2A2">
      <w:pPr>
        <w:rPr>
          <w:rFonts w:hint="eastAsia" w:ascii="Times New Roman" w:hAnsi="Times New Roman" w:cs="Times New Roman"/>
          <w:sz w:val="24"/>
          <w:szCs w:val="24"/>
          <w:lang w:val="en-US" w:eastAsia="zh-CN"/>
        </w:rPr>
      </w:pPr>
    </w:p>
    <w:p w14:paraId="2D58A320">
      <w:pPr>
        <w:widowControl w:val="0"/>
        <w:numPr>
          <w:ilvl w:val="0"/>
          <w:numId w:val="0"/>
        </w:numPr>
        <w:jc w:val="both"/>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References</w:t>
      </w:r>
    </w:p>
    <w:p w14:paraId="56879C42">
      <w:pPr>
        <w:numPr>
          <w:ilvl w:val="0"/>
          <w:numId w:val="1"/>
        </w:numP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Greiner KA. Adolescent idiopathic scoliosis: radiologic decision-making. Am Fam Physician. 2002;65(9):1817-1822.</w:t>
      </w:r>
    </w:p>
    <w:p w14:paraId="5DC3EB36">
      <w:pPr>
        <w:numPr>
          <w:ilvl w:val="0"/>
          <w:numId w:val="1"/>
        </w:numPr>
        <w:ind w:left="0" w:leftChars="0" w:firstLine="0" w:firstLineChars="0"/>
        <w:rPr>
          <w:rFonts w:hint="eastAsia" w:ascii="Times New Roman" w:hAnsi="Times New Roman" w:cs="Times New Roman"/>
          <w:sz w:val="20"/>
          <w:szCs w:val="20"/>
          <w:lang w:val="en-US" w:eastAsia="zh-CN"/>
        </w:rPr>
      </w:pPr>
      <w:r>
        <w:rPr>
          <w:rFonts w:hint="default" w:ascii="Times New Roman" w:hAnsi="Times New Roman" w:cs="Times New Roman"/>
          <w:sz w:val="20"/>
          <w:szCs w:val="20"/>
          <w:lang w:val="en-US" w:eastAsia="zh-CN"/>
        </w:rPr>
        <w:t>Negrini S, Donzelli S, Aulisa AG, et al. 2016 SOSORT guidelines: orthopaedic and rehabilitation treatment of idiopathic scoliosis during growth. Scoliosis Spinal Disord. 2018;13:3. Published 2018 Jan 10. doi:10.1186/s13013-017-0145-8</w:t>
      </w:r>
    </w:p>
    <w:p w14:paraId="36FAABDC">
      <w:pPr>
        <w:numPr>
          <w:ilvl w:val="0"/>
          <w:numId w:val="1"/>
        </w:numPr>
        <w:ind w:left="0" w:leftChars="0" w:firstLine="0" w:firstLineChars="0"/>
        <w:rPr>
          <w:rFonts w:hint="eastAsia" w:ascii="Times New Roman" w:hAnsi="Times New Roman" w:cs="Times New Roman"/>
          <w:sz w:val="24"/>
          <w:szCs w:val="24"/>
          <w:lang w:val="en-US" w:eastAsia="zh-CN"/>
        </w:rPr>
      </w:pPr>
      <w:r>
        <w:rPr>
          <w:rFonts w:hint="eastAsia" w:ascii="Times New Roman" w:hAnsi="Times New Roman" w:cs="Times New Roman"/>
          <w:sz w:val="20"/>
          <w:szCs w:val="20"/>
          <w:lang w:val="en-US" w:eastAsia="zh-CN"/>
        </w:rPr>
        <w:t>Richards BS, Bernstein RM, D'Amato CR, Thompson GH. Standardization of criteria for adolescent idiopathic scoliosis brace studies: SRS Committee on Bracing and Nonoperative Management. Spine (Phila Pa 1976). 2005;30(18):2068-2077. doi:10.1097/01.brs.0000178819.90239.d</w:t>
      </w:r>
      <w:r>
        <w:rPr>
          <w:rFonts w:hint="eastAsia" w:ascii="Times New Roman" w:hAnsi="Times New Roman" w:cs="Times New Roman"/>
          <w:sz w:val="24"/>
          <w:szCs w:val="24"/>
          <w:lang w:val="en-US" w:eastAsia="zh-CN"/>
        </w:rPr>
        <w:t>0</w:t>
      </w:r>
    </w:p>
    <w:p w14:paraId="1126CC85">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Amendt LE, Ause-Ellias KL, Eybers JL, Wadsworth CT, Nielsen DH, Weinstein SL. Validity and reliability testing of the Scoliometer. Phys Ther. 1990;70(2):108-117. doi:10.1093/ptj/70.2.108</w:t>
      </w:r>
    </w:p>
    <w:p w14:paraId="0E3C18F6">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Coelho DM, Bonagamba GH, Oliveira AS. Scoliometer measurements of patients with idiopathic scoliosis. Braz J Phys Ther. 2013;17(2):179-184. doi:10.1590/S1413-35552012005000081</w:t>
      </w:r>
    </w:p>
    <w:p w14:paraId="1F94440E">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1.Nash Jr CL, Moe JH. A study of vertebral rotation. J Bone Joint Surg Am. 1969;51(2):223-9.</w:t>
      </w:r>
    </w:p>
    <w:p w14:paraId="55B2528C">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2.Lam GC, Hill DL, Le LH, Raso JV, Lou EH. Vertebral rotation measurement: a summary and comparison of common radiographic and CT methods. Scoliosis. 2008;3:16. Published 2008 Nov 2. doi:10.1186/1748-7161-3-16</w:t>
      </w:r>
    </w:p>
    <w:p w14:paraId="7940CB5A">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3.Kim HJ, Chang DG, Lenke LG, et al. Rotational Changes Following Use of Direct Vertebral Rotation in Adolescent Idiopathic Scoliosis: A Long-Term Radiographic and Computed Tomography Evaluation. Spine (Phila Pa 1976). 2024;49(15):1059-1068. doi:10.1097/BRS.0000000000004869</w:t>
      </w:r>
    </w:p>
    <w:p w14:paraId="12D010EB">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1.de Araujo FF, Marcon RM, Cristante AF, de Barros TEP, Letaif OB. ROTATION ASSESSMENT IN ADOLESCENT IDIOPATHIC SCOLIOSIS WITH ROD DEROTATION. Acta Ortop Bras. 2019;27(1):42-45. doi:10.1590/1413-785220192701191874</w:t>
      </w:r>
    </w:p>
    <w:p w14:paraId="65071EA8">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2.Zhao S, Yao Z, Wang Q, et al. Prevalence, distribution characteristic and risk factors of lumbar vertebral axial rotation in patients with lumbar disc herniation: a retrospective study. Sci Rep. 2024;14(1):7909. Published 2024 Apr 4. doi:10.1038/s41598-024-55826-8</w:t>
      </w:r>
    </w:p>
    <w:p w14:paraId="3447CAFE">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1.Bagó J, Climent JM, Pérez-Grueso FJ, Pellisé F. Outcome instruments to assess scoliosis surgery. Eur Spine J. 2013;22 Suppl 2(Suppl 2):S195-S202. doi:10.1007/s00586-012-2352-6</w:t>
      </w:r>
    </w:p>
    <w:p w14:paraId="6B3B041C">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2.Asher M, Min Lai S, Burton D, Manna B. The reliability and concurrent validity of the scoliosis research society-22 patient questionnaire for idiopathic scoliosis. Spine (Phila Pa 1976). 2003;28(1):63-69. doi:10.1097/00007632-200301010-00015</w:t>
      </w:r>
    </w:p>
    <w:p w14:paraId="73101CD4">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1.Sanders JO, Polly DW Jr, Cats-Baril W, et al. Analysis of patient and parent assessment of deformity in idiopathic scoliosis using the Walter Reed Visual Assessment Scale. Spine (Phila Pa 1976). 2003;28(18):2158-2163. doi:10.1097/01.BRS.0000084629.97042.0B</w:t>
      </w:r>
    </w:p>
    <w:p w14:paraId="3CABD357">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2.Büyükturan Ö, Kaya MH, Alkan H, Büyükturan B, Erbahçeci F. Comparison of the efficacy of Schroth and Lyon exercise treatment techniques in adolescent idiopathic scoliosis: A randomized controlled, assessor and statistician blinded study. Musculoskelet Sci Pract. 2024;72:102952. doi:10.1016/j.msksp.2024.102952</w:t>
      </w:r>
    </w:p>
    <w:p w14:paraId="7A6E3258">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3.Kisa EP, Tarakcı E, Leblebici G, Ozdincler AR, Kasapcopur O. Exercise programs for scoliosis in juvenile idiopathic arthritis: a randomized-controlled study. Rheumatol Int. 2024;44(3):441-449. doi:10.1007/s00296-023-05439-7</w:t>
      </w:r>
    </w:p>
    <w:p w14:paraId="622814CC">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4.Akyurek E, Zengin Alpozgen A, Akgul T. The preliminary results of physiotherapy scoliosis-specific exercises on spine joint position sense in adolescent idiopathic scoliosis: A randomized controlled trial. Prosthet Orthot Int. 2022;46(5):510-517. doi:10.1097/PXR.0000000000000136</w:t>
      </w:r>
    </w:p>
    <w:p w14:paraId="543B32DB">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5.Yagci G, Ayhan C, Yakut Y. Effectiveness of basic body awareness therapy in adolescents with idiopathic scoliosis: A randomized controlled study1. J Back Musculoskelet Rehabil. 2018;31(4):693-701. doi:10.3233/BMR-170868</w:t>
      </w:r>
    </w:p>
    <w:p w14:paraId="0DCC4F09">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1.K. Inami et al., “Analysis of posterior trunk symmetry index (POTSI) in scoliosis. Part 2,” Research into Spinal Deformities, Studies in Health Technology and Informatics 59, 85–88 (1999).</w:t>
      </w:r>
    </w:p>
    <w:p w14:paraId="2FC598D1">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2.Pino-Almero L, Mínguez-Rey MF, Sentamans-Segarra S, Salvador-Palmer MR, Anda RM, La O JL. Quantification of topographic changes in the surface of back of young patients monitored for idiopathic scoliosis: correlation with radiographic variables. J Biomed Opt. 2016;21(11):116001. doi:10.1117/1.JBO.21.11.116001</w:t>
      </w:r>
    </w:p>
    <w:p w14:paraId="6230864B">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3.Yagci G, Ayhan C, Yakut Y. Effectiveness of basic body awareness therapy in adolescents with idiopathic scoliosis: A randomized controlled study1. J Back Musculoskelet Rehabil. 2018;31(4):693-701. doi:10.3233/BMR-170868</w:t>
      </w:r>
    </w:p>
    <w:p w14:paraId="45DD69A2">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4.Yagci G, Ayhan C, Yakut Y. Effectiveness of basic body awareness therapy in adolescents with idiopathic scoliosis: A randomized controlled study1. J Back Musculoskelet Rehabil. 2018;31(4):693-701. doi:10.3233/BMR-170868</w:t>
      </w:r>
    </w:p>
    <w:p w14:paraId="69FA6E77">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5.Gür G, Ayhan C, Yakut Y. The effectiveness of core stabilization exercise in adolescent idiopathic scoliosis: A randomized controlled trial. Prosthet Orthot Int. 2017;41(3):303-310. doi:10.1177/0309364616664151</w:t>
      </w:r>
    </w:p>
    <w:p w14:paraId="535D3546">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1.Miller MR, Hankinson J, Brusasco V, et al. Standardisation of spirometry. Eur Respir J. 2005;26(2):319-338. doi:10.1183/09031936.05.00034805</w:t>
      </w:r>
    </w:p>
    <w:p w14:paraId="6508338C">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2.Yildirim S, Ozyilmaz S, Elmadag NM, Yabaci A. Effects of Core Stabilization Exercises on Pulmonary Function, Respiratory Muscle Strength, Peripheral Muscle Strength, Functional Capacity, and Perceived Appearance in Children With Adolescent Idiopathic Scoliosis: A Randomized Controlled Trial. Am J Phys Med Rehabil. 2022;101(8):719-725. doi:10.1097/PHM.0000000000001984</w:t>
      </w:r>
    </w:p>
    <w:p w14:paraId="71235D0B">
      <w:pPr>
        <w:numPr>
          <w:ilvl w:val="0"/>
          <w:numId w:val="1"/>
        </w:numPr>
        <w:ind w:left="0" w:leftChars="0" w:firstLine="0" w:firstLineChars="0"/>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3.Kisa EP, Tarakcı E, Leblebici G, Ozdincler AR, Kasapcopur O. Exercise programs for scoliosis in juvenile idiopathic arthritis: a randomized-controlled study. Rheumatol Int. 2024;44(3):441-449. doi:10.1007/s00296-023-05439-7</w:t>
      </w:r>
    </w:p>
    <w:p w14:paraId="59E6936A">
      <w:pPr>
        <w:widowControl w:val="0"/>
        <w:numPr>
          <w:ilvl w:val="0"/>
          <w:numId w:val="0"/>
        </w:numPr>
        <w:jc w:val="both"/>
        <w:rPr>
          <w:rFonts w:hint="default" w:ascii="Times New Roman" w:hAnsi="Times New Roman" w:cs="Times New Roman"/>
          <w:sz w:val="21"/>
          <w:szCs w:val="21"/>
          <w:lang w:val="en-US" w:eastAsia="zh-CN"/>
        </w:rPr>
      </w:pPr>
    </w:p>
    <w:p w14:paraId="0D922795">
      <w:pPr>
        <w:rPr>
          <w:rFonts w:hint="eastAsia" w:ascii="Times New Roman" w:hAnsi="Times New Roman" w:cs="Times New Roman"/>
          <w:sz w:val="24"/>
          <w:szCs w:val="24"/>
          <w:lang w:val="en-US" w:eastAsia="zh-CN"/>
        </w:rPr>
      </w:pPr>
    </w:p>
    <w:p w14:paraId="542269D8">
      <w:pPr>
        <w:rPr>
          <w:rFonts w:hint="eastAsia"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Times New Roman Bold">
    <w:altName w:val="Times New Roman"/>
    <w:panose1 w:val="02020603050405020304"/>
    <w:charset w:val="00"/>
    <w:family w:val="auto"/>
    <w:pitch w:val="default"/>
    <w:sig w:usb0="00000000" w:usb1="00000000" w:usb2="00000009" w:usb3="00000000" w:csb0="400001FF" w:csb1="FFFF0000"/>
  </w:font>
  <w:font w:name="Times New Roman Regular">
    <w:altName w:val="Times New Roman"/>
    <w:panose1 w:val="02020603050405020304"/>
    <w:charset w:val="00"/>
    <w:family w:val="auto"/>
    <w:pitch w:val="default"/>
    <w:sig w:usb0="00000000" w:usb1="00000000" w:usb2="00000009" w:usb3="00000000" w:csb0="400001FF" w:csb1="FFFF0000"/>
  </w:font>
  <w:font w:name="@宋体">
    <w:panose1 w:val="02010600030101010101"/>
    <w:charset w:val="86"/>
    <w:family w:val="auto"/>
    <w:pitch w:val="variable"/>
    <w:sig w:usb0="00000203" w:usb1="288F0000" w:usb2="00000006" w:usb3="00000000" w:csb0="00040001"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A3DC7"/>
    <w:multiLevelType w:val="singleLevel"/>
    <w:tmpl w:val="DDFA3DC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FF3A93"/>
    <w:rsid w:val="3DFFC27B"/>
    <w:rsid w:val="3FBDC9D6"/>
    <w:rsid w:val="7B0D5E4A"/>
    <w:rsid w:val="7E4E4B69"/>
    <w:rsid w:val="7F55DD22"/>
    <w:rsid w:val="8CCF6D63"/>
    <w:rsid w:val="C2B73991"/>
    <w:rsid w:val="D5E76C88"/>
    <w:rsid w:val="E52F8372"/>
    <w:rsid w:val="E9FF3A93"/>
    <w:rsid w:val="EDFD02E4"/>
    <w:rsid w:val="FB4DF4A5"/>
    <w:rsid w:val="FD7F17FD"/>
    <w:rsid w:val="FEFFAFF4"/>
    <w:rsid w:val="FFED3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rPr>
      <w:sz w:val="24"/>
    </w:rPr>
  </w:style>
  <w:style w:type="paragraph" w:customStyle="1" w:styleId="5">
    <w:name w:val="p1"/>
    <w:basedOn w:val="1"/>
    <w:uiPriority w:val="0"/>
    <w:pPr>
      <w:spacing w:before="0" w:beforeAutospacing="0" w:after="0" w:afterAutospacing="0"/>
      <w:ind w:left="0" w:right="0"/>
      <w:jc w:val="left"/>
    </w:pPr>
    <w:rPr>
      <w:rFonts w:ascii="pingfang sc" w:hAnsi="pingfang sc" w:eastAsia="pingfang sc" w:cs="pingfang sc"/>
      <w:color w:val="000000"/>
      <w:kern w:val="0"/>
      <w:sz w:val="26"/>
      <w:szCs w:val="26"/>
      <w:lang w:val="en-US" w:eastAsia="zh-CN" w:bidi="ar"/>
    </w:rPr>
  </w:style>
  <w:style w:type="character" w:customStyle="1" w:styleId="6">
    <w:name w:val="s1"/>
    <w:basedOn w:val="4"/>
    <w:uiPriority w:val="0"/>
    <w:rPr>
      <w:rFonts w:ascii="Helvetica Neue" w:hAnsi="Helvetica Neue" w:eastAsia="Helvetica Neue" w:cs="Helvetica Neue"/>
      <w:sz w:val="26"/>
      <w:szCs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1830</Words>
  <Characters>11081</Characters>
  <Lines>0</Lines>
  <Paragraphs>0</Paragraphs>
  <TotalTime>35</TotalTime>
  <ScaleCrop>false</ScaleCrop>
  <LinksUpToDate>false</LinksUpToDate>
  <CharactersWithSpaces>12862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2025-02-07T04:52:00Z</dcterms:created>
  <dc:creator>刘小梅</dc:creator>
  <cp:lastModifiedBy>白白胖胖</cp:lastModifiedBy>
  <dcterms:modified xsi:type="dcterms:W3CDTF">2025-02-08T07:29:25Z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B4176C17AD92FD9C8EB0A467FA7CC749_41</vt:lpwstr>
  </property>
  <property fmtid="{D5CDD505-2E9C-101B-9397-08002B2CF9AE}" pid="4" name="KSOTemplateDocerSaveRecord">
    <vt:lpwstr>eyJoZGlkIjoiNjk5MTg1OWFjNGM3NmY0ZmYxNThhNTE5Y2Y1ZTZkOGMiLCJ1c2VySWQiOiIxMDIwNDA3MTIzIn0=</vt:lpwstr>
  </property>
</Properties>
</file>