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B9AB3" w14:textId="77777777" w:rsidR="00E31BD5" w:rsidRPr="00372811" w:rsidRDefault="00E31BD5" w:rsidP="00E31BD5">
      <w:pPr>
        <w:rPr>
          <w:rFonts w:ascii="Times New Roman" w:hAnsi="Times New Roman" w:cs="Times New Roman"/>
        </w:rPr>
      </w:pPr>
      <w:r w:rsidRPr="00372811">
        <w:rPr>
          <w:rFonts w:ascii="Times New Roman" w:hAnsi="Times New Roman" w:cs="Times New Roman"/>
          <w:b/>
          <w:bCs/>
        </w:rPr>
        <w:t>Supplement 1.</w:t>
      </w:r>
      <w:r>
        <w:rPr>
          <w:rFonts w:ascii="Times New Roman" w:hAnsi="Times New Roman" w:cs="Times New Roman"/>
        </w:rPr>
        <w:t xml:space="preserve"> </w:t>
      </w:r>
      <w:r w:rsidRPr="00372811">
        <w:rPr>
          <w:rFonts w:ascii="Times New Roman" w:hAnsi="Times New Roman" w:cs="Times New Roman"/>
        </w:rPr>
        <w:t>MINORS</w:t>
      </w:r>
    </w:p>
    <w:p w14:paraId="075A8F96" w14:textId="77777777" w:rsidR="00E31BD5" w:rsidRPr="0011489B" w:rsidRDefault="00E31BD5" w:rsidP="00E31BD5">
      <w:pPr>
        <w:rPr>
          <w:rFonts w:cstheme="minorHAnsi"/>
          <w:sz w:val="20"/>
          <w:szCs w:val="20"/>
        </w:rPr>
      </w:pPr>
    </w:p>
    <w:tbl>
      <w:tblPr>
        <w:tblStyle w:val="TableGrid"/>
        <w:tblW w:w="10677" w:type="dxa"/>
        <w:tblInd w:w="-629" w:type="dxa"/>
        <w:tblLook w:val="04A0" w:firstRow="1" w:lastRow="0" w:firstColumn="1" w:lastColumn="0" w:noHBand="0" w:noVBand="1"/>
      </w:tblPr>
      <w:tblGrid>
        <w:gridCol w:w="1205"/>
        <w:gridCol w:w="816"/>
        <w:gridCol w:w="1172"/>
        <w:gridCol w:w="1161"/>
        <w:gridCol w:w="1172"/>
        <w:gridCol w:w="1128"/>
        <w:gridCol w:w="1172"/>
        <w:gridCol w:w="728"/>
        <w:gridCol w:w="1161"/>
        <w:gridCol w:w="1006"/>
      </w:tblGrid>
      <w:tr w:rsidR="00E31BD5" w:rsidRPr="00FC4859" w14:paraId="0ECCEEA8" w14:textId="77777777" w:rsidTr="00637268">
        <w:trPr>
          <w:trHeight w:val="432"/>
        </w:trPr>
        <w:tc>
          <w:tcPr>
            <w:tcW w:w="1161" w:type="dxa"/>
            <w:hideMark/>
          </w:tcPr>
          <w:p w14:paraId="384316B4" w14:textId="77777777" w:rsidR="00E31BD5" w:rsidRPr="00FC4859" w:rsidRDefault="00E31BD5" w:rsidP="00637268">
            <w:pPr>
              <w:jc w:val="center"/>
              <w:rPr>
                <w:rFonts w:ascii="Times New Roman" w:eastAsia="Times New Roman" w:hAnsi="Times New Roman" w:cs="Times New Roman"/>
                <w:b/>
                <w:bCs/>
                <w:color w:val="000000"/>
                <w:sz w:val="20"/>
                <w:szCs w:val="20"/>
                <w:lang w:eastAsia="it-IT"/>
              </w:rPr>
            </w:pPr>
            <w:r w:rsidRPr="00FC4859">
              <w:rPr>
                <w:rFonts w:ascii="Times New Roman" w:eastAsia="Times New Roman" w:hAnsi="Times New Roman" w:cs="Times New Roman"/>
                <w:b/>
                <w:bCs/>
                <w:color w:val="000000"/>
                <w:sz w:val="20"/>
                <w:szCs w:val="20"/>
                <w:lang w:eastAsia="it-IT"/>
              </w:rPr>
              <w:t>Authors</w:t>
            </w:r>
          </w:p>
        </w:tc>
        <w:tc>
          <w:tcPr>
            <w:tcW w:w="816" w:type="dxa"/>
            <w:hideMark/>
          </w:tcPr>
          <w:p w14:paraId="00CACD7D" w14:textId="77777777" w:rsidR="00E31BD5" w:rsidRPr="00FC4859" w:rsidRDefault="00E31BD5" w:rsidP="00637268">
            <w:pPr>
              <w:jc w:val="center"/>
              <w:rPr>
                <w:rFonts w:ascii="Times New Roman" w:eastAsia="Times New Roman" w:hAnsi="Times New Roman" w:cs="Times New Roman"/>
                <w:b/>
                <w:bCs/>
                <w:i/>
                <w:iCs/>
                <w:sz w:val="20"/>
                <w:szCs w:val="20"/>
                <w:lang w:eastAsia="it-IT"/>
              </w:rPr>
            </w:pPr>
            <w:r w:rsidRPr="00FC4859">
              <w:rPr>
                <w:rFonts w:ascii="Times New Roman" w:eastAsia="Times New Roman" w:hAnsi="Times New Roman" w:cs="Times New Roman"/>
                <w:b/>
                <w:bCs/>
                <w:i/>
                <w:iCs/>
                <w:sz w:val="20"/>
                <w:szCs w:val="20"/>
                <w:lang w:eastAsia="it-IT"/>
              </w:rPr>
              <w:t>Clearly</w:t>
            </w:r>
            <w:r w:rsidRPr="00FC4859">
              <w:rPr>
                <w:rFonts w:ascii="Times New Roman" w:eastAsia="Times New Roman" w:hAnsi="Times New Roman" w:cs="Times New Roman"/>
                <w:b/>
                <w:bCs/>
                <w:i/>
                <w:iCs/>
                <w:sz w:val="20"/>
                <w:szCs w:val="20"/>
                <w:lang w:eastAsia="it-IT"/>
              </w:rPr>
              <w:br/>
              <w:t>stated</w:t>
            </w:r>
            <w:r w:rsidRPr="00FC4859">
              <w:rPr>
                <w:rFonts w:ascii="Times New Roman" w:eastAsia="Times New Roman" w:hAnsi="Times New Roman" w:cs="Times New Roman"/>
                <w:b/>
                <w:bCs/>
                <w:i/>
                <w:iCs/>
                <w:sz w:val="20"/>
                <w:szCs w:val="20"/>
                <w:lang w:eastAsia="it-IT"/>
              </w:rPr>
              <w:br/>
              <w:t>aim</w:t>
            </w:r>
          </w:p>
        </w:tc>
        <w:tc>
          <w:tcPr>
            <w:tcW w:w="1172" w:type="dxa"/>
            <w:hideMark/>
          </w:tcPr>
          <w:p w14:paraId="7F39DC91" w14:textId="77777777" w:rsidR="00E31BD5" w:rsidRPr="00FC4859" w:rsidRDefault="00E31BD5" w:rsidP="00637268">
            <w:pPr>
              <w:jc w:val="center"/>
              <w:rPr>
                <w:rFonts w:ascii="Times New Roman" w:eastAsia="Times New Roman" w:hAnsi="Times New Roman" w:cs="Times New Roman"/>
                <w:b/>
                <w:bCs/>
                <w:i/>
                <w:iCs/>
                <w:sz w:val="20"/>
                <w:szCs w:val="20"/>
                <w:lang w:eastAsia="it-IT"/>
              </w:rPr>
            </w:pPr>
            <w:r w:rsidRPr="00FC4859">
              <w:rPr>
                <w:rFonts w:ascii="Times New Roman" w:eastAsia="Times New Roman" w:hAnsi="Times New Roman" w:cs="Times New Roman"/>
                <w:b/>
                <w:bCs/>
                <w:i/>
                <w:iCs/>
                <w:sz w:val="20"/>
                <w:szCs w:val="20"/>
                <w:lang w:eastAsia="it-IT"/>
              </w:rPr>
              <w:t>Inclusion of</w:t>
            </w:r>
            <w:r w:rsidRPr="00FC4859">
              <w:rPr>
                <w:rFonts w:ascii="Times New Roman" w:eastAsia="Times New Roman" w:hAnsi="Times New Roman" w:cs="Times New Roman"/>
                <w:b/>
                <w:bCs/>
                <w:i/>
                <w:iCs/>
                <w:sz w:val="20"/>
                <w:szCs w:val="20"/>
                <w:lang w:eastAsia="it-IT"/>
              </w:rPr>
              <w:br/>
              <w:t>consecutive</w:t>
            </w:r>
            <w:r w:rsidRPr="00FC4859">
              <w:rPr>
                <w:rFonts w:ascii="Times New Roman" w:eastAsia="Times New Roman" w:hAnsi="Times New Roman" w:cs="Times New Roman"/>
                <w:b/>
                <w:bCs/>
                <w:i/>
                <w:iCs/>
                <w:sz w:val="20"/>
                <w:szCs w:val="20"/>
                <w:lang w:eastAsia="it-IT"/>
              </w:rPr>
              <w:br/>
              <w:t>patients</w:t>
            </w:r>
          </w:p>
        </w:tc>
        <w:tc>
          <w:tcPr>
            <w:tcW w:w="1161" w:type="dxa"/>
            <w:hideMark/>
          </w:tcPr>
          <w:p w14:paraId="69CFB4AA" w14:textId="77777777" w:rsidR="00E31BD5" w:rsidRPr="00FC4859" w:rsidRDefault="00E31BD5" w:rsidP="00637268">
            <w:pPr>
              <w:jc w:val="center"/>
              <w:rPr>
                <w:rFonts w:ascii="Times New Roman" w:eastAsia="Times New Roman" w:hAnsi="Times New Roman" w:cs="Times New Roman"/>
                <w:b/>
                <w:bCs/>
                <w:i/>
                <w:iCs/>
                <w:sz w:val="20"/>
                <w:szCs w:val="20"/>
                <w:lang w:eastAsia="it-IT"/>
              </w:rPr>
            </w:pPr>
            <w:r w:rsidRPr="00FC4859">
              <w:rPr>
                <w:rFonts w:ascii="Times New Roman" w:eastAsia="Times New Roman" w:hAnsi="Times New Roman" w:cs="Times New Roman"/>
                <w:b/>
                <w:bCs/>
                <w:i/>
                <w:iCs/>
                <w:sz w:val="20"/>
                <w:szCs w:val="20"/>
                <w:lang w:eastAsia="it-IT"/>
              </w:rPr>
              <w:t>Prospective</w:t>
            </w:r>
            <w:r w:rsidRPr="00FC4859">
              <w:rPr>
                <w:rFonts w:ascii="Times New Roman" w:eastAsia="Times New Roman" w:hAnsi="Times New Roman" w:cs="Times New Roman"/>
                <w:b/>
                <w:bCs/>
                <w:i/>
                <w:iCs/>
                <w:sz w:val="20"/>
                <w:szCs w:val="20"/>
                <w:lang w:eastAsia="it-IT"/>
              </w:rPr>
              <w:br/>
              <w:t>collection</w:t>
            </w:r>
            <w:r w:rsidRPr="00FC4859">
              <w:rPr>
                <w:rFonts w:ascii="Times New Roman" w:eastAsia="Times New Roman" w:hAnsi="Times New Roman" w:cs="Times New Roman"/>
                <w:b/>
                <w:bCs/>
                <w:i/>
                <w:iCs/>
                <w:sz w:val="20"/>
                <w:szCs w:val="20"/>
                <w:lang w:eastAsia="it-IT"/>
              </w:rPr>
              <w:br/>
              <w:t>of data</w:t>
            </w:r>
          </w:p>
        </w:tc>
        <w:tc>
          <w:tcPr>
            <w:tcW w:w="1172" w:type="dxa"/>
            <w:hideMark/>
          </w:tcPr>
          <w:p w14:paraId="6052CB3A" w14:textId="77777777" w:rsidR="00E31BD5" w:rsidRPr="00FC4859" w:rsidRDefault="00E31BD5" w:rsidP="00637268">
            <w:pPr>
              <w:jc w:val="center"/>
              <w:rPr>
                <w:rFonts w:ascii="Times New Roman" w:eastAsia="Times New Roman" w:hAnsi="Times New Roman" w:cs="Times New Roman"/>
                <w:b/>
                <w:bCs/>
                <w:i/>
                <w:iCs/>
                <w:sz w:val="20"/>
                <w:szCs w:val="20"/>
                <w:lang w:val="en-US" w:eastAsia="it-IT"/>
              </w:rPr>
            </w:pPr>
            <w:r w:rsidRPr="00FC4859">
              <w:rPr>
                <w:rFonts w:ascii="Times New Roman" w:eastAsia="Times New Roman" w:hAnsi="Times New Roman" w:cs="Times New Roman"/>
                <w:b/>
                <w:bCs/>
                <w:i/>
                <w:iCs/>
                <w:sz w:val="20"/>
                <w:szCs w:val="20"/>
                <w:lang w:val="en-US" w:eastAsia="it-IT"/>
              </w:rPr>
              <w:t>End points</w:t>
            </w:r>
            <w:r w:rsidRPr="00FC4859">
              <w:rPr>
                <w:rFonts w:ascii="Times New Roman" w:eastAsia="Times New Roman" w:hAnsi="Times New Roman" w:cs="Times New Roman"/>
                <w:b/>
                <w:bCs/>
                <w:i/>
                <w:iCs/>
                <w:sz w:val="20"/>
                <w:szCs w:val="20"/>
                <w:lang w:val="en-US" w:eastAsia="it-IT"/>
              </w:rPr>
              <w:br/>
              <w:t>appropriate</w:t>
            </w:r>
            <w:r w:rsidRPr="00FC4859">
              <w:rPr>
                <w:rFonts w:ascii="Times New Roman" w:eastAsia="Times New Roman" w:hAnsi="Times New Roman" w:cs="Times New Roman"/>
                <w:b/>
                <w:bCs/>
                <w:i/>
                <w:iCs/>
                <w:sz w:val="20"/>
                <w:szCs w:val="20"/>
                <w:lang w:val="en-US" w:eastAsia="it-IT"/>
              </w:rPr>
              <w:br/>
              <w:t>to aim of study</w:t>
            </w:r>
          </w:p>
        </w:tc>
        <w:tc>
          <w:tcPr>
            <w:tcW w:w="1128" w:type="dxa"/>
            <w:hideMark/>
          </w:tcPr>
          <w:p w14:paraId="634B585E" w14:textId="77777777" w:rsidR="00E31BD5" w:rsidRPr="00FC4859" w:rsidRDefault="00E31BD5" w:rsidP="00637268">
            <w:pPr>
              <w:jc w:val="center"/>
              <w:rPr>
                <w:rFonts w:ascii="Times New Roman" w:eastAsia="Times New Roman" w:hAnsi="Times New Roman" w:cs="Times New Roman"/>
                <w:b/>
                <w:bCs/>
                <w:i/>
                <w:iCs/>
                <w:sz w:val="20"/>
                <w:szCs w:val="20"/>
                <w:lang w:val="en-US" w:eastAsia="it-IT"/>
              </w:rPr>
            </w:pPr>
            <w:r w:rsidRPr="00FC4859">
              <w:rPr>
                <w:rFonts w:ascii="Times New Roman" w:eastAsia="Times New Roman" w:hAnsi="Times New Roman" w:cs="Times New Roman"/>
                <w:b/>
                <w:bCs/>
                <w:i/>
                <w:iCs/>
                <w:sz w:val="20"/>
                <w:szCs w:val="20"/>
                <w:lang w:val="en-US" w:eastAsia="it-IT"/>
              </w:rPr>
              <w:t>Unbiased assessment</w:t>
            </w:r>
            <w:r w:rsidRPr="00FC4859">
              <w:rPr>
                <w:rFonts w:ascii="Times New Roman" w:eastAsia="Times New Roman" w:hAnsi="Times New Roman" w:cs="Times New Roman"/>
                <w:b/>
                <w:bCs/>
                <w:i/>
                <w:iCs/>
                <w:sz w:val="20"/>
                <w:szCs w:val="20"/>
                <w:lang w:val="en-US" w:eastAsia="it-IT"/>
              </w:rPr>
              <w:br/>
              <w:t xml:space="preserve">of the study </w:t>
            </w:r>
            <w:r w:rsidRPr="00FC4859">
              <w:rPr>
                <w:rFonts w:ascii="Times New Roman" w:eastAsia="Times New Roman" w:hAnsi="Times New Roman" w:cs="Times New Roman"/>
                <w:b/>
                <w:bCs/>
                <w:i/>
                <w:iCs/>
                <w:sz w:val="20"/>
                <w:szCs w:val="20"/>
                <w:lang w:val="en-US" w:eastAsia="it-IT"/>
              </w:rPr>
              <w:br/>
              <w:t>end point</w:t>
            </w:r>
          </w:p>
        </w:tc>
        <w:tc>
          <w:tcPr>
            <w:tcW w:w="1172" w:type="dxa"/>
            <w:hideMark/>
          </w:tcPr>
          <w:p w14:paraId="5C8A085B" w14:textId="77777777" w:rsidR="00E31BD5" w:rsidRPr="00FC4859" w:rsidRDefault="00E31BD5" w:rsidP="00637268">
            <w:pPr>
              <w:jc w:val="center"/>
              <w:rPr>
                <w:rFonts w:ascii="Times New Roman" w:eastAsia="Times New Roman" w:hAnsi="Times New Roman" w:cs="Times New Roman"/>
                <w:b/>
                <w:bCs/>
                <w:i/>
                <w:iCs/>
                <w:sz w:val="20"/>
                <w:szCs w:val="20"/>
                <w:lang w:val="en-US" w:eastAsia="it-IT"/>
              </w:rPr>
            </w:pPr>
            <w:r w:rsidRPr="00FC4859">
              <w:rPr>
                <w:rFonts w:ascii="Times New Roman" w:eastAsia="Times New Roman" w:hAnsi="Times New Roman" w:cs="Times New Roman"/>
                <w:b/>
                <w:bCs/>
                <w:i/>
                <w:iCs/>
                <w:sz w:val="20"/>
                <w:szCs w:val="20"/>
                <w:lang w:val="en-US" w:eastAsia="it-IT"/>
              </w:rPr>
              <w:t>Follow up period appropriate to aim of study</w:t>
            </w:r>
          </w:p>
        </w:tc>
        <w:tc>
          <w:tcPr>
            <w:tcW w:w="728" w:type="dxa"/>
            <w:hideMark/>
          </w:tcPr>
          <w:p w14:paraId="366F6EB7" w14:textId="77777777" w:rsidR="00E31BD5" w:rsidRPr="00FC4859" w:rsidRDefault="00E31BD5" w:rsidP="00637268">
            <w:pPr>
              <w:jc w:val="center"/>
              <w:rPr>
                <w:rFonts w:ascii="Times New Roman" w:eastAsia="Times New Roman" w:hAnsi="Times New Roman" w:cs="Times New Roman"/>
                <w:b/>
                <w:bCs/>
                <w:i/>
                <w:iCs/>
                <w:sz w:val="20"/>
                <w:szCs w:val="20"/>
                <w:lang w:eastAsia="it-IT"/>
              </w:rPr>
            </w:pPr>
            <w:r w:rsidRPr="00FC4859">
              <w:rPr>
                <w:rFonts w:ascii="Times New Roman" w:eastAsia="Times New Roman" w:hAnsi="Times New Roman" w:cs="Times New Roman"/>
                <w:b/>
                <w:bCs/>
                <w:i/>
                <w:iCs/>
                <w:sz w:val="20"/>
                <w:szCs w:val="20"/>
                <w:lang w:eastAsia="it-IT"/>
              </w:rPr>
              <w:t>Loss to follow up &lt;5%</w:t>
            </w:r>
          </w:p>
        </w:tc>
        <w:tc>
          <w:tcPr>
            <w:tcW w:w="1161" w:type="dxa"/>
            <w:hideMark/>
          </w:tcPr>
          <w:p w14:paraId="6BF72C48" w14:textId="77777777" w:rsidR="00E31BD5" w:rsidRPr="00FC4859" w:rsidRDefault="00E31BD5" w:rsidP="00637268">
            <w:pPr>
              <w:jc w:val="center"/>
              <w:rPr>
                <w:rFonts w:ascii="Times New Roman" w:eastAsia="Times New Roman" w:hAnsi="Times New Roman" w:cs="Times New Roman"/>
                <w:b/>
                <w:bCs/>
                <w:i/>
                <w:iCs/>
                <w:sz w:val="20"/>
                <w:szCs w:val="20"/>
                <w:lang w:val="en-US" w:eastAsia="it-IT"/>
              </w:rPr>
            </w:pPr>
            <w:r w:rsidRPr="00FC4859">
              <w:rPr>
                <w:rFonts w:ascii="Times New Roman" w:eastAsia="Times New Roman" w:hAnsi="Times New Roman" w:cs="Times New Roman"/>
                <w:b/>
                <w:bCs/>
                <w:i/>
                <w:iCs/>
                <w:sz w:val="20"/>
                <w:szCs w:val="20"/>
                <w:lang w:val="en-US" w:eastAsia="it-IT"/>
              </w:rPr>
              <w:t>Prospective calculation of study size</w:t>
            </w:r>
          </w:p>
        </w:tc>
        <w:tc>
          <w:tcPr>
            <w:tcW w:w="1006" w:type="dxa"/>
            <w:hideMark/>
          </w:tcPr>
          <w:p w14:paraId="046AC324" w14:textId="77777777" w:rsidR="00E31BD5" w:rsidRPr="00FC4859" w:rsidRDefault="00E31BD5" w:rsidP="00637268">
            <w:pPr>
              <w:jc w:val="center"/>
              <w:rPr>
                <w:rFonts w:ascii="Times New Roman" w:eastAsia="Times New Roman" w:hAnsi="Times New Roman" w:cs="Times New Roman"/>
                <w:b/>
                <w:bCs/>
                <w:i/>
                <w:iCs/>
                <w:sz w:val="20"/>
                <w:szCs w:val="20"/>
                <w:lang w:eastAsia="it-IT"/>
              </w:rPr>
            </w:pPr>
            <w:r w:rsidRPr="00FC4859">
              <w:rPr>
                <w:rFonts w:ascii="Times New Roman" w:eastAsia="Times New Roman" w:hAnsi="Times New Roman" w:cs="Times New Roman"/>
                <w:b/>
                <w:bCs/>
                <w:i/>
                <w:iCs/>
                <w:sz w:val="20"/>
                <w:szCs w:val="20"/>
                <w:lang w:eastAsia="it-IT"/>
              </w:rPr>
              <w:t>MINORS score</w:t>
            </w:r>
          </w:p>
        </w:tc>
      </w:tr>
      <w:tr w:rsidR="00E31BD5" w:rsidRPr="00FC4859" w14:paraId="7E7EF024" w14:textId="77777777" w:rsidTr="00637268">
        <w:trPr>
          <w:trHeight w:val="432"/>
        </w:trPr>
        <w:tc>
          <w:tcPr>
            <w:tcW w:w="1161" w:type="dxa"/>
            <w:hideMark/>
          </w:tcPr>
          <w:p w14:paraId="66EC6DCF" w14:textId="77777777" w:rsidR="00E31BD5" w:rsidRPr="00FC4859" w:rsidRDefault="00E31BD5" w:rsidP="00637268">
            <w:pPr>
              <w:pStyle w:val="NormalWeb"/>
              <w:rPr>
                <w:sz w:val="20"/>
                <w:szCs w:val="20"/>
                <w:lang w:val="en-US"/>
              </w:rPr>
            </w:pPr>
            <w:r w:rsidRPr="00EF7B61">
              <w:rPr>
                <w:b/>
                <w:bCs/>
                <w:sz w:val="20"/>
                <w:szCs w:val="20"/>
              </w:rPr>
              <w:t>Motallebi Zadeh et al. (2014)</w:t>
            </w:r>
            <w:r w:rsidRPr="00EF7B61">
              <w:rPr>
                <w:b/>
                <w:bCs/>
                <w:sz w:val="20"/>
                <w:szCs w:val="20"/>
              </w:rPr>
              <w:fldChar w:fldCharType="begin"/>
            </w:r>
            <w:r>
              <w:rPr>
                <w:b/>
                <w:bCs/>
                <w:sz w:val="20"/>
                <w:szCs w:val="20"/>
              </w:rPr>
              <w:instrText xml:space="preserve"> ADDIN ZOTERO_ITEM CSL_CITATION {"citationID":"f10PIww5","properties":{"formattedCitation":"\\super 13\\nosupersub{}","plainCitation":"13","noteIndex":0},"citationItems":[{"id":"TTlgjYNR/OPcX2VzS","uris":["http://zotero.org/users/local/cAs26NOD/items/IIF7Y9I9"],"itemData":{"id":444,"type":"article-journal","container-title":"Clinical Orthopaedics &amp; Related Research","DOI":"10.1007/s11999-014-3782-8","ISSN":"0009-921X","issue":"11","language":"en","page":"3549-3556","source":"DOI.org (Crossref)","title":"Cosmetic Lower Limb Lengthening by Ilizarov Apparatus: What are the Risks?","title-short":"Cosmetic Lower Limb Lengthening by Ilizarov Apparatus","volume":"472","author":[{"family":"Novikov","given":"Konstantin I."},{"family":"Subramanyam","given":"Koushik N."},{"family":"Muradisinov","given":"Serghei O."},{"family":"Novikova","given":"Olga S."},{"family":"Kolesnikova","given":"Elina S."}],"issued":{"date-parts":[["2014",11]]}}}],"schema":"https://github.com/citation-style-language/schema/raw/master/csl-citation.json"} </w:instrText>
            </w:r>
            <w:r w:rsidRPr="00EF7B61">
              <w:rPr>
                <w:b/>
                <w:bCs/>
                <w:sz w:val="20"/>
                <w:szCs w:val="20"/>
              </w:rPr>
              <w:fldChar w:fldCharType="separate"/>
            </w:r>
            <w:r w:rsidRPr="0032664E">
              <w:rPr>
                <w:sz w:val="20"/>
                <w:vertAlign w:val="superscript"/>
              </w:rPr>
              <w:t>13</w:t>
            </w:r>
            <w:r w:rsidRPr="00EF7B61">
              <w:rPr>
                <w:sz w:val="20"/>
                <w:szCs w:val="20"/>
              </w:rPr>
              <w:fldChar w:fldCharType="end"/>
            </w:r>
          </w:p>
        </w:tc>
        <w:tc>
          <w:tcPr>
            <w:tcW w:w="816" w:type="dxa"/>
            <w:hideMark/>
          </w:tcPr>
          <w:p w14:paraId="173D82AE"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p w14:paraId="2DCB16F1" w14:textId="77777777" w:rsidR="00E31BD5" w:rsidRPr="00FC4859" w:rsidRDefault="00E31BD5" w:rsidP="00637268">
            <w:pPr>
              <w:rPr>
                <w:rFonts w:ascii="Times New Roman" w:eastAsia="Times New Roman" w:hAnsi="Times New Roman" w:cs="Times New Roman"/>
                <w:sz w:val="20"/>
                <w:szCs w:val="20"/>
                <w:lang w:eastAsia="it-IT"/>
              </w:rPr>
            </w:pPr>
          </w:p>
          <w:p w14:paraId="633BEB33" w14:textId="77777777" w:rsidR="00E31BD5" w:rsidRPr="00FC4859" w:rsidRDefault="00E31BD5" w:rsidP="00637268">
            <w:pPr>
              <w:rPr>
                <w:rFonts w:ascii="Times New Roman" w:eastAsia="Times New Roman" w:hAnsi="Times New Roman" w:cs="Times New Roman"/>
                <w:sz w:val="20"/>
                <w:szCs w:val="20"/>
                <w:lang w:eastAsia="it-IT"/>
              </w:rPr>
            </w:pPr>
          </w:p>
        </w:tc>
        <w:tc>
          <w:tcPr>
            <w:tcW w:w="1172" w:type="dxa"/>
            <w:hideMark/>
          </w:tcPr>
          <w:p w14:paraId="0CBAE097"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hideMark/>
          </w:tcPr>
          <w:p w14:paraId="7846CB42"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72" w:type="dxa"/>
            <w:hideMark/>
          </w:tcPr>
          <w:p w14:paraId="4EF08AFA"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28" w:type="dxa"/>
            <w:hideMark/>
          </w:tcPr>
          <w:p w14:paraId="7D107727"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hideMark/>
          </w:tcPr>
          <w:p w14:paraId="7BB8074E"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728" w:type="dxa"/>
            <w:hideMark/>
          </w:tcPr>
          <w:p w14:paraId="5DFD2A27"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hideMark/>
          </w:tcPr>
          <w:p w14:paraId="54470CE2"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hideMark/>
          </w:tcPr>
          <w:p w14:paraId="44C61776"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10</w:t>
            </w:r>
          </w:p>
        </w:tc>
      </w:tr>
      <w:tr w:rsidR="00E31BD5" w:rsidRPr="00FC4859" w14:paraId="74A17652" w14:textId="77777777" w:rsidTr="00637268">
        <w:trPr>
          <w:trHeight w:val="432"/>
        </w:trPr>
        <w:tc>
          <w:tcPr>
            <w:tcW w:w="1161" w:type="dxa"/>
          </w:tcPr>
          <w:p w14:paraId="66CF92F5" w14:textId="77777777" w:rsidR="00E31BD5" w:rsidRPr="00FC4859" w:rsidRDefault="00E31BD5" w:rsidP="00637268">
            <w:pPr>
              <w:pStyle w:val="NormalWeb"/>
              <w:rPr>
                <w:sz w:val="20"/>
                <w:szCs w:val="20"/>
                <w:lang w:val="en-US"/>
              </w:rPr>
            </w:pPr>
            <w:r w:rsidRPr="00EF7B61">
              <w:rPr>
                <w:b/>
                <w:bCs/>
                <w:sz w:val="20"/>
                <w:szCs w:val="20"/>
              </w:rPr>
              <w:t>Guerreschi et al. (2016)</w:t>
            </w:r>
            <w:r w:rsidRPr="00EF7B61">
              <w:rPr>
                <w:b/>
                <w:bCs/>
                <w:sz w:val="20"/>
                <w:szCs w:val="20"/>
              </w:rPr>
              <w:fldChar w:fldCharType="begin"/>
            </w:r>
            <w:r>
              <w:rPr>
                <w:b/>
                <w:bCs/>
                <w:sz w:val="20"/>
                <w:szCs w:val="20"/>
              </w:rPr>
              <w:instrText xml:space="preserve"> ADDIN ZOTERO_ITEM CSL_CITATION {"citationID":"Gh9rtD93","properties":{"formattedCitation":"\\super 16\\nosupersub{}","plainCitation":"16","noteIndex":0},"citationItems":[{"id":"TTlgjYNR/RC1SNsap","uris":["http://zotero.org/users/local/cAs26NOD/items/YQBPL9VX"],"itemData":{"id":446,"type":"article-journal","abstract":"Objectives In the last decades, limb lengthening has not been limited to the treatment of patients with dwarﬁsm and deformities resulting from congenital anomalies, trauma, tumor and infections, but, has also been used for aesthetic reasons. Cosmetic lengthening by the Ilizarov method with circular external ﬁxation has been applied to individuals with constitutional short stature who wish to be taller. Materials and methods From January 1985 to December 2010, the medical records of 63 patients with constitutional short stature (36 M, 27F; 126 legs) who underwent cosmetic bilateral leg lengthening using a hybrid advanced ﬁxator according to the Ilizarov method, were reviewed, retrospectively. The mean age was 24.8 years, while the mean preoperative height was 152.6 cm. Paley’s criteria were used to evaluate problems, obstacles, and complications from the time of surgery until 1 year after frame’s removal.\nResult The mean lengthening achieved in all patients was 7.2 cm (range: 5–11 cm), with a mean duration of treatment of 9 months and 15 days (range: 7–18 months). The mean follow-up time was 6.14 years (range 1–10).\nConclusion The cosmetic leg lengthening was helpful to all patients, improving their social capabilities and selfconﬁdence. All patients considered their stature as normal and they reported satisfaction and gratiﬁcation with important changes in their professional and personal life. Cosmetic leg lengthening may raise some ethical objections and for that reason patients should be well informed about all the risks and complications related to this type of surgery.","container-title":"Journal of Children's Orthopaedics","DOI":"10.1007/s11832-016-0791-z","ISSN":"1863-2521, 1863-2548","issue":"6","journalAbbreviation":"Journal of Children's Orthopaedics","language":"en","page":"597-604","source":"DOI.org (Crossref)","title":"Cosmetic lengthening: What are the limits?","title-short":"Cosmetic lengthening","volume":"10","author":[{"family":"Guerreschi","given":"F."},{"family":"Tsibidakis","given":"H."}],"issued":{"date-parts":[["2016",12]]}}}],"schema":"https://github.com/citation-style-language/schema/raw/master/csl-citation.json"} </w:instrText>
            </w:r>
            <w:r w:rsidRPr="00EF7B61">
              <w:rPr>
                <w:b/>
                <w:bCs/>
                <w:sz w:val="20"/>
                <w:szCs w:val="20"/>
              </w:rPr>
              <w:fldChar w:fldCharType="separate"/>
            </w:r>
            <w:r w:rsidRPr="0032664E">
              <w:rPr>
                <w:sz w:val="20"/>
                <w:vertAlign w:val="superscript"/>
              </w:rPr>
              <w:t>16</w:t>
            </w:r>
            <w:r w:rsidRPr="00EF7B61">
              <w:rPr>
                <w:sz w:val="20"/>
                <w:szCs w:val="20"/>
              </w:rPr>
              <w:fldChar w:fldCharType="end"/>
            </w:r>
          </w:p>
        </w:tc>
        <w:tc>
          <w:tcPr>
            <w:tcW w:w="816" w:type="dxa"/>
          </w:tcPr>
          <w:p w14:paraId="4445A0D6"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72" w:type="dxa"/>
          </w:tcPr>
          <w:p w14:paraId="3E3817CC"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08F5AFB9"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5463120A"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28" w:type="dxa"/>
          </w:tcPr>
          <w:p w14:paraId="77B7EE8F"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6647D77D"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728" w:type="dxa"/>
          </w:tcPr>
          <w:p w14:paraId="6D22B3D8"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675A52B6"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tcPr>
          <w:p w14:paraId="0F240A07"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12</w:t>
            </w:r>
          </w:p>
        </w:tc>
      </w:tr>
      <w:tr w:rsidR="00E31BD5" w:rsidRPr="00FC4859" w14:paraId="3E3277A4" w14:textId="77777777" w:rsidTr="00637268">
        <w:trPr>
          <w:trHeight w:val="432"/>
        </w:trPr>
        <w:tc>
          <w:tcPr>
            <w:tcW w:w="1161" w:type="dxa"/>
          </w:tcPr>
          <w:p w14:paraId="71452870" w14:textId="77777777" w:rsidR="00E31BD5" w:rsidRPr="00FC4859" w:rsidRDefault="00E31BD5" w:rsidP="00637268">
            <w:pPr>
              <w:pStyle w:val="NormalWeb"/>
              <w:rPr>
                <w:sz w:val="20"/>
                <w:szCs w:val="20"/>
                <w:lang w:val="en-US"/>
              </w:rPr>
            </w:pPr>
            <w:r w:rsidRPr="00EF7B61">
              <w:rPr>
                <w:b/>
                <w:bCs/>
                <w:sz w:val="20"/>
                <w:szCs w:val="20"/>
              </w:rPr>
              <w:t>Novikov et al. (2014)</w:t>
            </w:r>
            <w:r w:rsidRPr="00EF7B61">
              <w:rPr>
                <w:b/>
                <w:bCs/>
                <w:sz w:val="20"/>
                <w:szCs w:val="20"/>
              </w:rPr>
              <w:fldChar w:fldCharType="begin"/>
            </w:r>
            <w:r>
              <w:rPr>
                <w:b/>
                <w:bCs/>
                <w:sz w:val="20"/>
                <w:szCs w:val="20"/>
              </w:rPr>
              <w:instrText xml:space="preserve"> ADDIN ZOTERO_ITEM CSL_CITATION {"citationID":"ZsfCh9ik","properties":{"formattedCitation":"\\super 13\\nosupersub{}","plainCitation":"13","noteIndex":0},"citationItems":[{"id":"TTlgjYNR/OPcX2VzS","uris":["http://zotero.org/users/local/cAs26NOD/items/IIF7Y9I9"],"itemData":{"id":444,"type":"article-journal","container-title":"Clinical Orthopaedics &amp; Related Research","DOI":"10.1007/s11999-014-3782-8","ISSN":"0009-921X","issue":"11","language":"en","page":"3549-3556","source":"DOI.org (Crossref)","title":"Cosmetic Lower Limb Lengthening by Ilizarov Apparatus: What are the Risks?","title-short":"Cosmetic Lower Limb Lengthening by Ilizarov Apparatus","volume":"472","author":[{"family":"Novikov","given":"Konstantin I."},{"family":"Subramanyam","given":"Koushik N."},{"family":"Muradisinov","given":"Serghei O."},{"family":"Novikova","given":"Olga S."},{"family":"Kolesnikova","given":"Elina S."}],"issued":{"date-parts":[["2014",11]]}}}],"schema":"https://github.com/citation-style-language/schema/raw/master/csl-citation.json"} </w:instrText>
            </w:r>
            <w:r w:rsidRPr="00EF7B61">
              <w:rPr>
                <w:b/>
                <w:bCs/>
                <w:sz w:val="20"/>
                <w:szCs w:val="20"/>
              </w:rPr>
              <w:fldChar w:fldCharType="separate"/>
            </w:r>
            <w:r w:rsidRPr="0032664E">
              <w:rPr>
                <w:sz w:val="20"/>
                <w:vertAlign w:val="superscript"/>
              </w:rPr>
              <w:t>13</w:t>
            </w:r>
            <w:r w:rsidRPr="00EF7B61">
              <w:rPr>
                <w:sz w:val="20"/>
                <w:szCs w:val="20"/>
              </w:rPr>
              <w:fldChar w:fldCharType="end"/>
            </w:r>
          </w:p>
        </w:tc>
        <w:tc>
          <w:tcPr>
            <w:tcW w:w="816" w:type="dxa"/>
          </w:tcPr>
          <w:p w14:paraId="052D4C40"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35D2D498"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74329E89"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54F8ED5F"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28" w:type="dxa"/>
          </w:tcPr>
          <w:p w14:paraId="6CB73C3C"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4C8ECB1F"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728" w:type="dxa"/>
          </w:tcPr>
          <w:p w14:paraId="1D1351E2"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09391AFB"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tcPr>
          <w:p w14:paraId="6ECCB46C"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9</w:t>
            </w:r>
          </w:p>
        </w:tc>
      </w:tr>
      <w:tr w:rsidR="00E31BD5" w:rsidRPr="00FC4859" w14:paraId="234AD9FC" w14:textId="77777777" w:rsidTr="00637268">
        <w:trPr>
          <w:trHeight w:val="432"/>
        </w:trPr>
        <w:tc>
          <w:tcPr>
            <w:tcW w:w="1161" w:type="dxa"/>
          </w:tcPr>
          <w:p w14:paraId="31249157" w14:textId="77777777" w:rsidR="00E31BD5" w:rsidRPr="00FC4859" w:rsidRDefault="00E31BD5" w:rsidP="00637268">
            <w:pPr>
              <w:pStyle w:val="NormalWeb"/>
              <w:rPr>
                <w:sz w:val="20"/>
                <w:szCs w:val="20"/>
                <w:lang w:val="en-US"/>
              </w:rPr>
            </w:pPr>
            <w:r w:rsidRPr="00EF7B61">
              <w:rPr>
                <w:b/>
                <w:bCs/>
                <w:sz w:val="20"/>
                <w:szCs w:val="20"/>
              </w:rPr>
              <w:t>Park Hoon et al. (2016)</w:t>
            </w:r>
            <w:r w:rsidRPr="00EF7B61">
              <w:rPr>
                <w:b/>
                <w:bCs/>
                <w:sz w:val="20"/>
                <w:szCs w:val="20"/>
              </w:rPr>
              <w:fldChar w:fldCharType="begin"/>
            </w:r>
            <w:r>
              <w:rPr>
                <w:b/>
                <w:bCs/>
                <w:sz w:val="20"/>
                <w:szCs w:val="20"/>
              </w:rPr>
              <w:instrText xml:space="preserve"> ADDIN ZOTERO_ITEM CSL_CITATION {"citationID":"vAYZ9FCf","properties":{"formattedCitation":"\\super 17\\nosupersub{}","plainCitation":"17","noteIndex":0},"citationItems":[{"id":"TTlgjYNR/21dG95TJ","uris":["http://zotero.org/users/local/cAs26NOD/items/3TJMVXXN"],"itemData":{"id":448,"type":"article-journal","abstract":"Background During tibial lengthening, the soft tissues of the posterolateral compartment produce distraction-resisting forces causing valgus angulation. Although this occurs with the classic Ilizarov method, whether a valgus deformity develops with the lengthening over nail (LON) technique is questioned, because the intramedullary nail is thought to resist deforming forces and adequately maintain alignment of the distracted bone.","container-title":"Clinical Orthopaedics &amp; Related Research","DOI":"10.1007/s11999-016-4712-8","ISSN":"0009-921X","issue":"5","language":"en","page":"1283-1291","source":"DOI.org (Crossref)","title":"Is there an Increase in Valgus Deviation in Tibial Distraction Using the Lengthening Over Nail Technique?","volume":"474","author":[{"family":"Park","given":"Hoon"},{"family":"Ryu","given":"Keun Jung"},{"family":"Kim","given":"Hyun Woo"},{"family":"Hwang","given":"Jin Ho"},{"family":"Han","given":"Joon Woo"},{"family":"Lee","given":"Dong Hoon"}],"issued":{"date-parts":[["2016",5]]}}}],"schema":"https://github.com/citation-style-language/schema/raw/master/csl-citation.json"} </w:instrText>
            </w:r>
            <w:r w:rsidRPr="00EF7B61">
              <w:rPr>
                <w:b/>
                <w:bCs/>
                <w:sz w:val="20"/>
                <w:szCs w:val="20"/>
              </w:rPr>
              <w:fldChar w:fldCharType="separate"/>
            </w:r>
            <w:r w:rsidRPr="0032664E">
              <w:rPr>
                <w:sz w:val="20"/>
                <w:vertAlign w:val="superscript"/>
              </w:rPr>
              <w:t>17</w:t>
            </w:r>
            <w:r w:rsidRPr="00EF7B61">
              <w:rPr>
                <w:sz w:val="20"/>
                <w:szCs w:val="20"/>
              </w:rPr>
              <w:fldChar w:fldCharType="end"/>
            </w:r>
          </w:p>
        </w:tc>
        <w:tc>
          <w:tcPr>
            <w:tcW w:w="816" w:type="dxa"/>
          </w:tcPr>
          <w:p w14:paraId="62E88A60"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72" w:type="dxa"/>
          </w:tcPr>
          <w:p w14:paraId="0E116191"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4BD89F3D"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5061BD67"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28" w:type="dxa"/>
          </w:tcPr>
          <w:p w14:paraId="50ABF4E1"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6FDE3B1F"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728" w:type="dxa"/>
          </w:tcPr>
          <w:p w14:paraId="3B8EF6DE"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76A17DFC"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tcPr>
          <w:p w14:paraId="2C6B167F"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12</w:t>
            </w:r>
          </w:p>
        </w:tc>
      </w:tr>
      <w:tr w:rsidR="00E31BD5" w:rsidRPr="00FC4859" w14:paraId="3ACA2125" w14:textId="77777777" w:rsidTr="00637268">
        <w:trPr>
          <w:trHeight w:val="432"/>
        </w:trPr>
        <w:tc>
          <w:tcPr>
            <w:tcW w:w="1161" w:type="dxa"/>
          </w:tcPr>
          <w:p w14:paraId="099955D8" w14:textId="77777777" w:rsidR="00E31BD5" w:rsidRPr="00FC4859" w:rsidRDefault="00E31BD5" w:rsidP="00637268">
            <w:pPr>
              <w:rPr>
                <w:rFonts w:ascii="Times New Roman" w:hAnsi="Times New Roman" w:cs="Times New Roman"/>
                <w:color w:val="000000"/>
                <w:sz w:val="20"/>
                <w:szCs w:val="20"/>
              </w:rPr>
            </w:pPr>
            <w:r w:rsidRPr="00856724">
              <w:rPr>
                <w:rFonts w:ascii="Times New Roman" w:hAnsi="Times New Roman" w:cs="Times New Roman"/>
                <w:b/>
                <w:bCs/>
                <w:color w:val="000000"/>
                <w:sz w:val="20"/>
                <w:szCs w:val="20"/>
              </w:rPr>
              <w:t>Catagni et al. (2005)</w:t>
            </w:r>
            <w:r w:rsidRPr="00856724">
              <w:rPr>
                <w:rFonts w:ascii="Times New Roman" w:hAnsi="Times New Roman" w:cs="Times New Roman"/>
                <w:b/>
                <w:bCs/>
                <w:color w:val="000000"/>
                <w:sz w:val="20"/>
                <w:szCs w:val="20"/>
              </w:rPr>
              <w:fldChar w:fldCharType="begin"/>
            </w:r>
            <w:r>
              <w:rPr>
                <w:rFonts w:ascii="Times New Roman" w:hAnsi="Times New Roman" w:cs="Times New Roman"/>
                <w:b/>
                <w:bCs/>
                <w:color w:val="000000"/>
                <w:sz w:val="20"/>
                <w:szCs w:val="20"/>
              </w:rPr>
              <w:instrText xml:space="preserve"> ADDIN ZOTERO_ITEM CSL_CITATION {"citationID":"DMF4bU9F","properties":{"formattedCitation":"\\super 9\\nosupersub{}","plainCitation":"9","noteIndex":0},"citationItems":[{"id":"TTlgjYNR/3sg3OsqJ","uris":["http://zotero.org/users/local/cAs26NOD/items/WRTJGIRZ"],"itemData":{"id":440,"type":"article-journal","abstract":"The Ilizarov method for leg lengthening was used for cosmetic reasons in 54 patients with constitutional short stature. A mean lengthening of 7 cm with a low rate of complications produced an excellent or good outcome in all the patients, including improvement in psychological disturbances related to short stature. Those who undergo the procedure must be highly motivated, fully informed and understand the technique and possible complications. We suggest that the Ilizarov method for cosmetic limb lengthening is a technique without major complications. However, it requires careful follow-up, and the involvement of orthopaedic surgeons who are familiar with use of the circular frame and are experienced in limb lengthening and correction of deformity for pathological conditions.","container-title":"The Journal of Bone and Joint Surgery. British volume","DOI":"10.1302/0301-620X.87B10.16468","ISSN":"0301-620X, 2044-5377","issue":"10","journalAbbreviation":"The Journal of Bone and Joint Surgery. British volume","language":"en","license":"https://online.boneandjoint.org.uk/TDM","page":"1402-1405","source":"DOI.org (Crossref)","title":"Cosmetic bilateral leg lengthening: EXPERIENCE OF 54 CASES","title-short":"Cosmetic bilateral leg lengthening","volume":"87-B","author":[{"family":"Catagni","given":"M. A."},{"family":"Lovisetti","given":"L."},{"family":"Guerreschi","given":"F."},{"family":"Combi","given":"A."},{"family":"Ottaviani","given":"G."}],"issued":{"date-parts":[["2005",10]]}}}],"schema":"https://github.com/citation-style-language/schema/raw/master/csl-citation.json"} </w:instrText>
            </w:r>
            <w:r w:rsidRPr="00856724">
              <w:rPr>
                <w:rFonts w:ascii="Times New Roman" w:hAnsi="Times New Roman" w:cs="Times New Roman"/>
                <w:b/>
                <w:bCs/>
                <w:color w:val="000000"/>
                <w:sz w:val="20"/>
                <w:szCs w:val="20"/>
              </w:rPr>
              <w:fldChar w:fldCharType="separate"/>
            </w:r>
            <w:r w:rsidRPr="0032664E">
              <w:rPr>
                <w:rFonts w:ascii="Times New Roman" w:hAnsi="Times New Roman" w:cs="Times New Roman"/>
                <w:color w:val="000000"/>
                <w:sz w:val="20"/>
                <w:vertAlign w:val="superscript"/>
              </w:rPr>
              <w:t>9</w:t>
            </w:r>
            <w:r w:rsidRPr="00856724">
              <w:rPr>
                <w:rFonts w:ascii="Times New Roman" w:hAnsi="Times New Roman" w:cs="Times New Roman"/>
                <w:color w:val="000000"/>
                <w:sz w:val="20"/>
                <w:szCs w:val="20"/>
              </w:rPr>
              <w:fldChar w:fldCharType="end"/>
            </w:r>
          </w:p>
        </w:tc>
        <w:tc>
          <w:tcPr>
            <w:tcW w:w="816" w:type="dxa"/>
          </w:tcPr>
          <w:p w14:paraId="5A7EE2E9"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FF0000"/>
                <w:sz w:val="20"/>
                <w:szCs w:val="20"/>
                <w:lang w:eastAsia="it-IT"/>
              </w:rPr>
              <w:t>0</w:t>
            </w:r>
          </w:p>
        </w:tc>
        <w:tc>
          <w:tcPr>
            <w:tcW w:w="1172" w:type="dxa"/>
          </w:tcPr>
          <w:p w14:paraId="50D3DB43"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61" w:type="dxa"/>
          </w:tcPr>
          <w:p w14:paraId="6A8F7247"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1C1FFEF0"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28" w:type="dxa"/>
          </w:tcPr>
          <w:p w14:paraId="1283FB4E"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6C4CA910"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728" w:type="dxa"/>
          </w:tcPr>
          <w:p w14:paraId="53FEC0D3"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6F383BC9"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tcPr>
          <w:p w14:paraId="5B5A85C1"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7</w:t>
            </w:r>
          </w:p>
        </w:tc>
      </w:tr>
      <w:tr w:rsidR="00E31BD5" w:rsidRPr="00FC4859" w14:paraId="78AF19B6" w14:textId="77777777" w:rsidTr="00637268">
        <w:trPr>
          <w:trHeight w:val="432"/>
        </w:trPr>
        <w:tc>
          <w:tcPr>
            <w:tcW w:w="1161" w:type="dxa"/>
          </w:tcPr>
          <w:p w14:paraId="77664EB9" w14:textId="77777777" w:rsidR="00E31BD5" w:rsidRPr="00FC4859" w:rsidRDefault="00E31BD5" w:rsidP="00637268">
            <w:pPr>
              <w:rPr>
                <w:rFonts w:ascii="Times New Roman" w:hAnsi="Times New Roman" w:cs="Times New Roman"/>
                <w:color w:val="000000"/>
                <w:sz w:val="20"/>
                <w:szCs w:val="20"/>
              </w:rPr>
            </w:pPr>
            <w:r w:rsidRPr="00EF7B61">
              <w:rPr>
                <w:rFonts w:ascii="Times New Roman" w:hAnsi="Times New Roman" w:cs="Times New Roman"/>
                <w:b/>
                <w:bCs/>
                <w:color w:val="000000"/>
                <w:sz w:val="20"/>
                <w:szCs w:val="20"/>
              </w:rPr>
              <w:t>Emara et al (2011</w:t>
            </w:r>
            <w:r>
              <w:rPr>
                <w:rFonts w:ascii="Times New Roman" w:hAnsi="Times New Roman" w:cs="Times New Roman"/>
                <w:b/>
                <w:bCs/>
                <w:color w:val="000000"/>
                <w:sz w:val="20"/>
                <w:szCs w:val="20"/>
              </w:rPr>
              <w:t>)</w:t>
            </w:r>
            <w:r>
              <w:rPr>
                <w:rFonts w:ascii="Times New Roman" w:hAnsi="Times New Roman" w:cs="Times New Roman"/>
                <w:b/>
                <w:bCs/>
                <w:color w:val="000000"/>
                <w:sz w:val="20"/>
                <w:szCs w:val="20"/>
              </w:rPr>
              <w:fldChar w:fldCharType="begin"/>
            </w:r>
            <w:r>
              <w:rPr>
                <w:rFonts w:ascii="Times New Roman" w:hAnsi="Times New Roman" w:cs="Times New Roman"/>
                <w:b/>
                <w:bCs/>
                <w:color w:val="000000"/>
                <w:sz w:val="20"/>
                <w:szCs w:val="20"/>
              </w:rPr>
              <w:instrText xml:space="preserve"> ADDIN ZOTERO_ITEM CSL_CITATION {"citationID":"KZwIb27j","properties":{"formattedCitation":"\\super 11\\nosupersub{}","plainCitation":"11","noteIndex":0},"citationItems":[{"id":"TTlgjYNR/J97ZLjn0","uris":["http://zotero.org/users/local/cAs26NOD/items/BBSZ7IGY"],"itemData":{"id":450,"type":"article-journal","abstract":"Purpose. To investigate the risks and types of complications associated with the Ilizarov technique of lengthening and then nailing in persons of normal height.","container-title":"Journal of Orthopaedic Surgery","DOI":"10.1177/230949901101900215","ISSN":"1022-5536, 2309-4990","issue":"2","journalAbbreviation":"J Orthop Surg (Hong Kong)","language":"en","page":"204-208","source":"DOI.org (Crossref)","title":"Ilizarov Technique of Lengthening and Then Nailing for Height Increase","volume":"19","author":[{"family":"Emara","given":"Khaled"},{"family":"Farouk","given":"Amr"},{"family":"Diab","given":"Rami"}],"issued":{"date-parts":[["2011",8]]}}}],"schema":"https://github.com/citation-style-language/schema/raw/master/csl-citation.json"} </w:instrText>
            </w:r>
            <w:r>
              <w:rPr>
                <w:rFonts w:ascii="Times New Roman" w:hAnsi="Times New Roman" w:cs="Times New Roman"/>
                <w:b/>
                <w:bCs/>
                <w:color w:val="000000"/>
                <w:sz w:val="20"/>
                <w:szCs w:val="20"/>
              </w:rPr>
              <w:fldChar w:fldCharType="separate"/>
            </w:r>
            <w:r w:rsidRPr="0032664E">
              <w:rPr>
                <w:rFonts w:ascii="Times New Roman" w:hAnsi="Times New Roman" w:cs="Times New Roman"/>
                <w:color w:val="000000"/>
                <w:sz w:val="20"/>
                <w:vertAlign w:val="superscript"/>
              </w:rPr>
              <w:t>11</w:t>
            </w:r>
            <w:r>
              <w:rPr>
                <w:rFonts w:ascii="Times New Roman" w:hAnsi="Times New Roman" w:cs="Times New Roman"/>
                <w:b/>
                <w:bCs/>
                <w:color w:val="000000"/>
                <w:sz w:val="20"/>
                <w:szCs w:val="20"/>
              </w:rPr>
              <w:fldChar w:fldCharType="end"/>
            </w:r>
          </w:p>
        </w:tc>
        <w:tc>
          <w:tcPr>
            <w:tcW w:w="816" w:type="dxa"/>
          </w:tcPr>
          <w:p w14:paraId="2AE6F795"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72" w:type="dxa"/>
          </w:tcPr>
          <w:p w14:paraId="79B4EA04"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2C8281F5"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25C05A10"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28" w:type="dxa"/>
          </w:tcPr>
          <w:p w14:paraId="5F4BEB48"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7E8E1054"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728" w:type="dxa"/>
          </w:tcPr>
          <w:p w14:paraId="2B156B4A"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6FC1CAA0"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tcPr>
          <w:p w14:paraId="788746AB"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12</w:t>
            </w:r>
          </w:p>
        </w:tc>
      </w:tr>
      <w:tr w:rsidR="00E31BD5" w:rsidRPr="00FC4859" w14:paraId="0CA331DB" w14:textId="77777777" w:rsidTr="00637268">
        <w:trPr>
          <w:trHeight w:val="432"/>
        </w:trPr>
        <w:tc>
          <w:tcPr>
            <w:tcW w:w="1161" w:type="dxa"/>
          </w:tcPr>
          <w:p w14:paraId="707A443D" w14:textId="77777777" w:rsidR="00E31BD5" w:rsidRPr="00FC4859" w:rsidRDefault="00E31BD5" w:rsidP="00637268">
            <w:pPr>
              <w:rPr>
                <w:rFonts w:ascii="Times New Roman" w:hAnsi="Times New Roman" w:cs="Times New Roman"/>
                <w:color w:val="000000"/>
                <w:sz w:val="20"/>
                <w:szCs w:val="20"/>
                <w:highlight w:val="yellow"/>
              </w:rPr>
            </w:pPr>
            <w:r w:rsidRPr="00EF7B61">
              <w:rPr>
                <w:rFonts w:ascii="Times New Roman" w:hAnsi="Times New Roman" w:cs="Times New Roman"/>
                <w:b/>
                <w:bCs/>
                <w:color w:val="141413"/>
                <w:sz w:val="20"/>
                <w:szCs w:val="20"/>
              </w:rPr>
              <w:t>Elbatrawy et al. (2014)</w:t>
            </w:r>
            <w:r w:rsidRPr="00EF7B61">
              <w:rPr>
                <w:rFonts w:ascii="Times New Roman" w:hAnsi="Times New Roman" w:cs="Times New Roman"/>
                <w:b/>
                <w:bCs/>
                <w:color w:val="141413"/>
                <w:sz w:val="20"/>
                <w:szCs w:val="20"/>
              </w:rPr>
              <w:fldChar w:fldCharType="begin"/>
            </w:r>
            <w:r>
              <w:rPr>
                <w:rFonts w:ascii="Times New Roman" w:hAnsi="Times New Roman" w:cs="Times New Roman"/>
                <w:b/>
                <w:bCs/>
                <w:color w:val="141413"/>
                <w:sz w:val="20"/>
                <w:szCs w:val="20"/>
              </w:rPr>
              <w:instrText xml:space="preserve"> ADDIN ZOTERO_ITEM CSL_CITATION {"citationID":"V5nPRIwl","properties":{"formattedCitation":"\\super 12\\nosupersub{}","plainCitation":"12","noteIndex":0},"citationItems":[{"id":"TTlgjYNR/0riCht2V","uris":["http://zotero.org/users/local/cAs26NOD/items/S8UWL9D9"],"itemData":{"id":439,"type":"article-journal","abstract":"It is well known that limb lengthening is performed to treat limb-length discrepancies resulting from congenital anomalies and developmental problems. However, few studies discuss lengthening for cosmetic purposes. The current authors conducted a prospective study with long-term follow-up. From July 2002 through June 2007, 133 patients requested that their height be increased. Fifty-two were approved to undergo limb-lengthening surgery. Two were lost to final follow-up, leaving 50 in the study group. For all patients, the Ilizarov ring external fixator was applied with a maximum-stability technique that achieved frame stability and allowed patients to ambulate with a walker from the first week postoperatively. The method requires close follow-up for early detection of problems. Physiotherapy improved ankle function and prevented plantar flexion deformity, which can occur during lengthening. Excellent final outcomes were achieved in all patients except one, who required additional surgery. The Ilizarov device is a safe tool for limb lengthening in individuals of short stature when applied with the authors’ maximum stability technique. To the authors’ knowledge, this is the first article on this topic to report long-term results (minimum 5-year follow-up for all patients). Many factors influence the outcome of lengthening surgery performed with Ilizarov devices: the material of the rings, the use of a hybrid technique combining pins and wires, the diameter and number of pins over each bone segment, the size of the rings around the limb, the surgical technique for pin insertion, and the use of hydroxyapatite-coated pins or regular stainless pins. [\n              Orthopedics.\n              2015; 38(7):e552–e560.]","container-title":"Orthopedics","DOI":"10.3928/01477447-20150701-51","ISSN":"0147-7447, 1938-2367","issue":"7","journalAbbreviation":"Orthopedics","language":"en","source":"DOI.org (Crossref)","title":"Safe Cosmetic Leg Lengthening for Short Stature: Long-term Outcomes","title-short":"Safe Cosmetic Leg Lengthening for Short Stature","URL":"https://journals.healio.com/doi/10.3928/01477447-20150701-51","volume":"38","author":[{"family":"Elbatrawy","given":"Yasser"},{"family":"Ragab","given":"Ibrahim Mohammed A."}],"accessed":{"date-parts":[["2024",12,16]]},"issued":{"date-parts":[["2015",7]]}}}],"schema":"https://github.com/citation-style-language/schema/raw/master/csl-citation.json"} </w:instrText>
            </w:r>
            <w:r w:rsidRPr="00EF7B61">
              <w:rPr>
                <w:rFonts w:ascii="Times New Roman" w:hAnsi="Times New Roman" w:cs="Times New Roman"/>
                <w:b/>
                <w:bCs/>
                <w:color w:val="141413"/>
                <w:sz w:val="20"/>
                <w:szCs w:val="20"/>
              </w:rPr>
              <w:fldChar w:fldCharType="separate"/>
            </w:r>
            <w:r w:rsidRPr="0032664E">
              <w:rPr>
                <w:rFonts w:ascii="Times New Roman" w:hAnsi="Times New Roman" w:cs="Times New Roman"/>
                <w:color w:val="000000"/>
                <w:sz w:val="20"/>
                <w:vertAlign w:val="superscript"/>
              </w:rPr>
              <w:t>12</w:t>
            </w:r>
            <w:r w:rsidRPr="00EF7B61">
              <w:rPr>
                <w:rFonts w:ascii="Times New Roman" w:hAnsi="Times New Roman" w:cs="Times New Roman"/>
                <w:color w:val="141413"/>
                <w:sz w:val="20"/>
                <w:szCs w:val="20"/>
                <w:lang w:val="en-US"/>
              </w:rPr>
              <w:fldChar w:fldCharType="end"/>
            </w:r>
          </w:p>
        </w:tc>
        <w:tc>
          <w:tcPr>
            <w:tcW w:w="816" w:type="dxa"/>
          </w:tcPr>
          <w:p w14:paraId="1D98D25F"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0ACB43E2"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32F7DF83"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72" w:type="dxa"/>
          </w:tcPr>
          <w:p w14:paraId="6A467715"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28" w:type="dxa"/>
          </w:tcPr>
          <w:p w14:paraId="2C53604F"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15A27DF5"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728" w:type="dxa"/>
          </w:tcPr>
          <w:p w14:paraId="15C6EFE1"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0BED5658"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tcPr>
          <w:p w14:paraId="2B162C03"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10</w:t>
            </w:r>
          </w:p>
        </w:tc>
      </w:tr>
      <w:tr w:rsidR="00E31BD5" w:rsidRPr="00FC4859" w14:paraId="243537FB" w14:textId="77777777" w:rsidTr="00637268">
        <w:trPr>
          <w:trHeight w:val="432"/>
        </w:trPr>
        <w:tc>
          <w:tcPr>
            <w:tcW w:w="1161" w:type="dxa"/>
          </w:tcPr>
          <w:p w14:paraId="6BBC4BF6" w14:textId="77777777" w:rsidR="00E31BD5" w:rsidRPr="00FC4859" w:rsidRDefault="00E31BD5" w:rsidP="00637268">
            <w:pPr>
              <w:rPr>
                <w:rFonts w:ascii="Times New Roman" w:hAnsi="Times New Roman" w:cs="Times New Roman"/>
                <w:color w:val="000000"/>
                <w:sz w:val="20"/>
                <w:szCs w:val="20"/>
                <w:highlight w:val="yellow"/>
              </w:rPr>
            </w:pPr>
            <w:r w:rsidRPr="00332EAB">
              <w:rPr>
                <w:rFonts w:ascii="Times New Roman" w:hAnsi="Times New Roman" w:cs="Times New Roman"/>
                <w:b/>
                <w:bCs/>
                <w:color w:val="000000"/>
                <w:sz w:val="20"/>
                <w:szCs w:val="20"/>
              </w:rPr>
              <w:t>Assayag et al. (2020)</w:t>
            </w:r>
            <w:r w:rsidRPr="00332EAB">
              <w:rPr>
                <w:rFonts w:ascii="Times New Roman" w:hAnsi="Times New Roman" w:cs="Times New Roman"/>
                <w:b/>
                <w:bCs/>
                <w:color w:val="000000"/>
                <w:sz w:val="20"/>
                <w:szCs w:val="20"/>
              </w:rPr>
              <w:fldChar w:fldCharType="begin"/>
            </w:r>
            <w:r>
              <w:rPr>
                <w:rFonts w:ascii="Times New Roman" w:hAnsi="Times New Roman" w:cs="Times New Roman"/>
                <w:b/>
                <w:bCs/>
                <w:color w:val="000000"/>
                <w:sz w:val="20"/>
                <w:szCs w:val="20"/>
              </w:rPr>
              <w:instrText xml:space="preserve"> ADDIN ZOTERO_ITEM CSL_CITATION {"citationID":"2d18tRXJ","properties":{"formattedCitation":"\\super 20\\nosupersub{}","plainCitation":"20","noteIndex":0},"citationItems":[{"id":"TTlgjYNR/GVTeaqoD","uris":["http://zotero.org/users/local/cAs26NOD/items/H5IC8KJC"],"itemData":{"id":442,"type":"article-journal","abstract":"Introduction: Patients undergo stature-lengthening surgery (SLS) with the hope of improving their psychological health. The presumption is that increased height will improve body-image and selfesteem. The use of motorized internal lengthening nail and lengthening and then nailing techniques has eliminated or minimized time in external fixation increasing interest in the procedure. Material and Methods: Fifteen patients (32 bone segments) who underwent SLS were included in the study. All patients were bilateral, and one patient underwent four-segment treatments in two stages. Psychological assessment was performed with the body image quality of life inventory (BIQLI), the situational inventory of body-image dysphoria (SIBID), and the multidimensional body-self relations questionnaire before surgery and at latest follow-up. Orthopedic data included length obtained, bone healing index (BHI), adjacent joint range of motion, and Association for the Study and Application of Methods of Ilizarov (ASAMI). bone and functional scores. Results: The mean magnitude of lengthening was 64 ± 9.3 mm (48–77) (P &lt; 0.001), resulting in an average increase from 161 cm to 167.4 cm. Mean BHI was 0.86 month/cm. ASAMI bone and functional results were all excellent after average follow-up of 37 months, with no loss of adjacent joint range of motion. BIQLI score significantly increased from 0.62 ± 1.26 (range −1.6–1.9) to 1.67 ± 0.85 (range −0.16–2.6) (P = 0.02). SIBID score significantly improved from 1.3 ± 0.81 (range 0.4–2.5) to 1.02 ± 0.68 (range 0.42–2.1) (P = 0.03). Discussion: Patients’ significant increase in BIQLI score postoperatively, when compared to their scores preoperatively, demonstrate higher satisfaction in their body-image following SLS. Significant improvement in patients’ SIBID score demonstrate a decrease in the impact of stature dysphoria in patients’ everyday life following SLS. Conclusion: SLS is a safe and effective treatment to increase height. In patients, psychological health, including body-image and self-esteem, is improved.","container-title":"Journal of Limb Lengthening &amp; Reconstruction","DOI":"10.4103/jllr.jllr_4_20","ISSN":"2455-3719","issue":"1","journalAbbreviation":"J Limb Lengthen Reconstr","language":"en","page":"28","source":"DOI.org (Crossref)","title":"Psychological and orthopedic outcomes after stature lengthening surgery using intramedullary nails","volume":"6","author":[{"family":"Assayag","given":"Michael"},{"family":"Buksbaum","given":"JoshuaR"},{"family":"Khabyeh-Hasbani","given":"Nathan"},{"family":"Westrich","given":"EllenKatz"},{"family":"Fragomen","given":"AustinT"},{"family":"Rozbruch","given":"SRobert"}],"issued":{"date-parts":[["2020"]]}}}],"schema":"https://github.com/citation-style-language/schema/raw/master/csl-citation.json"} </w:instrText>
            </w:r>
            <w:r w:rsidRPr="00332EAB">
              <w:rPr>
                <w:rFonts w:ascii="Times New Roman" w:hAnsi="Times New Roman" w:cs="Times New Roman"/>
                <w:b/>
                <w:bCs/>
                <w:color w:val="000000"/>
                <w:sz w:val="20"/>
                <w:szCs w:val="20"/>
              </w:rPr>
              <w:fldChar w:fldCharType="separate"/>
            </w:r>
            <w:r w:rsidRPr="0032664E">
              <w:rPr>
                <w:rFonts w:ascii="Times New Roman" w:hAnsi="Times New Roman" w:cs="Times New Roman"/>
                <w:color w:val="000000"/>
                <w:sz w:val="20"/>
                <w:vertAlign w:val="superscript"/>
              </w:rPr>
              <w:t>20</w:t>
            </w:r>
            <w:r w:rsidRPr="00332EAB">
              <w:rPr>
                <w:rFonts w:ascii="Times New Roman" w:hAnsi="Times New Roman" w:cs="Times New Roman"/>
                <w:color w:val="000000"/>
                <w:sz w:val="20"/>
                <w:szCs w:val="20"/>
              </w:rPr>
              <w:fldChar w:fldCharType="end"/>
            </w:r>
          </w:p>
        </w:tc>
        <w:tc>
          <w:tcPr>
            <w:tcW w:w="816" w:type="dxa"/>
          </w:tcPr>
          <w:p w14:paraId="31BB1F6B"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72" w:type="dxa"/>
          </w:tcPr>
          <w:p w14:paraId="72B119DE"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0F3A5D3A"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4D172C0C"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28" w:type="dxa"/>
          </w:tcPr>
          <w:p w14:paraId="0D01A81F"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139B65FC"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728" w:type="dxa"/>
          </w:tcPr>
          <w:p w14:paraId="4BA43B47"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7682FE9D"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tcPr>
          <w:p w14:paraId="1A6EB57D"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12</w:t>
            </w:r>
          </w:p>
        </w:tc>
      </w:tr>
      <w:tr w:rsidR="00E31BD5" w:rsidRPr="00FC4859" w14:paraId="460F762A" w14:textId="77777777" w:rsidTr="00637268">
        <w:trPr>
          <w:trHeight w:val="432"/>
        </w:trPr>
        <w:tc>
          <w:tcPr>
            <w:tcW w:w="1161" w:type="dxa"/>
          </w:tcPr>
          <w:p w14:paraId="28B15B2C" w14:textId="77777777" w:rsidR="00E31BD5" w:rsidRPr="00FC4859" w:rsidRDefault="00E31BD5" w:rsidP="00637268">
            <w:pPr>
              <w:rPr>
                <w:rFonts w:ascii="Times New Roman" w:hAnsi="Times New Roman" w:cs="Times New Roman"/>
                <w:color w:val="000000"/>
                <w:sz w:val="20"/>
                <w:szCs w:val="20"/>
              </w:rPr>
            </w:pPr>
            <w:r w:rsidRPr="00856724">
              <w:rPr>
                <w:rFonts w:ascii="Times New Roman" w:hAnsi="Times New Roman" w:cs="Times New Roman"/>
                <w:b/>
                <w:bCs/>
                <w:color w:val="000000"/>
                <w:sz w:val="20"/>
                <w:szCs w:val="20"/>
              </w:rPr>
              <w:t>Havitcioglu et al. (2020)</w:t>
            </w:r>
            <w:r w:rsidRPr="00856724">
              <w:rPr>
                <w:rFonts w:ascii="Times New Roman" w:hAnsi="Times New Roman" w:cs="Times New Roman"/>
                <w:b/>
                <w:bCs/>
                <w:color w:val="000000"/>
                <w:sz w:val="20"/>
                <w:szCs w:val="20"/>
              </w:rPr>
              <w:fldChar w:fldCharType="begin"/>
            </w:r>
            <w:r>
              <w:rPr>
                <w:rFonts w:ascii="Times New Roman" w:hAnsi="Times New Roman" w:cs="Times New Roman"/>
                <w:b/>
                <w:bCs/>
                <w:color w:val="000000"/>
                <w:sz w:val="20"/>
                <w:szCs w:val="20"/>
              </w:rPr>
              <w:instrText xml:space="preserve"> ADDIN ZOTERO_ITEM CSL_CITATION {"citationID":"3643Br3m","properties":{"formattedCitation":"\\super 19\\nosupersub{}","plainCitation":"19","noteIndex":0},"citationItems":[{"id":"TTlgjYNR/2zmsikel","uris":["http://zotero.org/users/local/cAs26NOD/items/9LEENH9F"],"itemData":{"id":447,"type":"article-journal","abstract":"Background: Distraction osteogenesis to correct deformity and limb-length discrepancy was deﬁned by Ilizarov. Traditional distraction osteogenesis was made with circular external ﬁxators or monolateral ﬁxators commonly for deformity, and external ﬁxators was related with pin site infections and pain due to soft-tissue transﬁxation. Nowadays, bone lengthening method is used with diﬀerent intramedullary nail systems for cosmetic purposes.\nMethods: From 2011 until 2018, a total of 9 patients (6 males and 3 females:16 femoral, 2 tibial), with constitutional short stature, to whom the intramedullary nail lengthening technique for cosmetic purposes had been applied, were retrospectively reviewed. The mean age was 28.3 while the mean height before the lengthening was 151 cm.\nResult: The mean lengthening gained in all patients were 8.7 cm. The mean follow-up period was 22 ± 11 months while the healing index with normal bone healing was 46.8 ± 16 months/cm. Complications that we noted were; insuﬃcient bone regeneration (n = 2), quadriceps contracture (n = 1), proximal locking screw runaway (n = 1).\nConclusion: Bone lengthening for aesthetic purposes with diﬀerent nail systems can be very safe and beneﬁcial to the patients improving their social capabilities and self-conﬁdence. Yet, patients should be well informed about the complications and risks of the lengthening surgery.","container-title":"Journal of Orthopaedics","DOI":"10.1016/j.jor.2020.01.003","ISSN":"0972978X","journalAbbreviation":"Journal of Orthopaedics","language":"en","page":"232-235","source":"DOI.org (Crossref)","title":"Cosmetic bilateral leg lengthening using intramedullary nail experience of 9 cases","volume":"20","author":[{"family":"Havitcioglu","given":"Hasan"},{"family":"Gursan","given":"Onur"},{"family":"Isin","given":"Yagmur"}],"issued":{"date-parts":[["2020",7]]}}}],"schema":"https://github.com/citation-style-language/schema/raw/master/csl-citation.json"} </w:instrText>
            </w:r>
            <w:r w:rsidRPr="00856724">
              <w:rPr>
                <w:rFonts w:ascii="Times New Roman" w:hAnsi="Times New Roman" w:cs="Times New Roman"/>
                <w:b/>
                <w:bCs/>
                <w:color w:val="000000"/>
                <w:sz w:val="20"/>
                <w:szCs w:val="20"/>
              </w:rPr>
              <w:fldChar w:fldCharType="separate"/>
            </w:r>
            <w:r w:rsidRPr="0032664E">
              <w:rPr>
                <w:rFonts w:ascii="Times New Roman" w:hAnsi="Times New Roman" w:cs="Times New Roman"/>
                <w:color w:val="000000"/>
                <w:sz w:val="20"/>
                <w:vertAlign w:val="superscript"/>
              </w:rPr>
              <w:t>19</w:t>
            </w:r>
            <w:r w:rsidRPr="00856724">
              <w:rPr>
                <w:rFonts w:ascii="Times New Roman" w:hAnsi="Times New Roman" w:cs="Times New Roman"/>
                <w:color w:val="000000"/>
                <w:sz w:val="20"/>
                <w:szCs w:val="20"/>
              </w:rPr>
              <w:fldChar w:fldCharType="end"/>
            </w:r>
          </w:p>
        </w:tc>
        <w:tc>
          <w:tcPr>
            <w:tcW w:w="816" w:type="dxa"/>
          </w:tcPr>
          <w:p w14:paraId="3703694C"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18EB58EF"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17BF97E0"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2C32380E"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28" w:type="dxa"/>
          </w:tcPr>
          <w:p w14:paraId="1D9D3619"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33311BB9"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728" w:type="dxa"/>
          </w:tcPr>
          <w:p w14:paraId="7E015C59"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1540C1DD"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tcPr>
          <w:p w14:paraId="7059F4C1"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10</w:t>
            </w:r>
          </w:p>
        </w:tc>
      </w:tr>
      <w:tr w:rsidR="00E31BD5" w:rsidRPr="00FC4859" w14:paraId="2461888C" w14:textId="77777777" w:rsidTr="00637268">
        <w:trPr>
          <w:trHeight w:val="432"/>
        </w:trPr>
        <w:tc>
          <w:tcPr>
            <w:tcW w:w="1161" w:type="dxa"/>
          </w:tcPr>
          <w:p w14:paraId="5A351262" w14:textId="77777777" w:rsidR="00E31BD5" w:rsidRPr="00FC4859" w:rsidRDefault="00E31BD5" w:rsidP="00637268">
            <w:pPr>
              <w:rPr>
                <w:rFonts w:ascii="Times New Roman" w:hAnsi="Times New Roman" w:cs="Times New Roman"/>
                <w:color w:val="000000"/>
                <w:sz w:val="20"/>
                <w:szCs w:val="20"/>
                <w:highlight w:val="yellow"/>
              </w:rPr>
            </w:pPr>
            <w:r w:rsidRPr="00EF7B61">
              <w:rPr>
                <w:rFonts w:ascii="Times New Roman" w:hAnsi="Times New Roman" w:cs="Times New Roman"/>
                <w:b/>
                <w:bCs/>
                <w:color w:val="000000"/>
                <w:sz w:val="20"/>
                <w:szCs w:val="20"/>
              </w:rPr>
              <w:t>Kocaoglu et al. (2015)</w:t>
            </w:r>
            <w:r w:rsidRPr="00EF7B61">
              <w:rPr>
                <w:rFonts w:ascii="Times New Roman" w:hAnsi="Times New Roman" w:cs="Times New Roman"/>
                <w:b/>
                <w:bCs/>
                <w:color w:val="000000"/>
                <w:sz w:val="20"/>
                <w:szCs w:val="20"/>
              </w:rPr>
              <w:fldChar w:fldCharType="begin"/>
            </w:r>
            <w:r>
              <w:rPr>
                <w:rFonts w:ascii="Times New Roman" w:hAnsi="Times New Roman" w:cs="Times New Roman"/>
                <w:b/>
                <w:bCs/>
                <w:color w:val="000000"/>
                <w:sz w:val="20"/>
                <w:szCs w:val="20"/>
              </w:rPr>
              <w:instrText xml:space="preserve"> ADDIN ZOTERO_ITEM CSL_CITATION {"citationID":"IwzAeG4K","properties":{"formattedCitation":"\\super 15\\nosupersub{}","plainCitation":"15","noteIndex":0},"citationItems":[{"id":"TTlgjYNR/ulzDy9ve","uris":["http://zotero.org/users/local/cAs26NOD/items/C5IVUFPL"],"itemData":{"id":451,"type":"article-journal","abstract":"We conducted a retrospective study by reviewing our results following cosmetic lengthening using the lengthening over nail technique in terms of the importance of the patient selection process, bone and soft tissue complications, and functional and subjective clinical outcomes. The study data were obtained from medical records and radiographs. A total of 32 patients, 24 males and 8 females, with constitutional short stature underwent the lengthening over nail technique for cosmetic purposes between 2000 and 2013. Lengthening was performed in the femora of 15 patients and in the tibiae of 17 patients. All patients who were accepted for cosmetic lengthening underwent a careful selection process that included a psychiatric evaluation. The mean follow-up time was 73 months (range, 12 to 163 months). Thirty-four complications were reported. Cosmetic lengthening is not without complications. Patient selection is of paramount importance. This technique is recommended for cosmetic lengthening because it is minimally-invasive and it has documented reproducible results.","container-title":"Acta Orthopaedica Belgica","ISSN":"0001-6462","issue":"2","journalAbbreviation":"Acta Orthop Belg","language":"eng","note":"PMID: 30399986","page":"231-244","source":"PubMed","title":"Results of cosmetic lower limb lengthening by the lengthening over nail technique","volume":"83","author":[{"family":"Kocaoglu","given":"Mehmet"},{"family":"Bilen","given":"F. Erkal"},{"family":"Eralp","given":"I. Levent"},{"family":"Yumrukcal","given":"Feridun"}],"issued":{"date-parts":[["2017",6]]}}}],"schema":"https://github.com/citation-style-language/schema/raw/master/csl-citation.json"} </w:instrText>
            </w:r>
            <w:r w:rsidRPr="00EF7B61">
              <w:rPr>
                <w:rFonts w:ascii="Times New Roman" w:hAnsi="Times New Roman" w:cs="Times New Roman"/>
                <w:b/>
                <w:bCs/>
                <w:color w:val="000000"/>
                <w:sz w:val="20"/>
                <w:szCs w:val="20"/>
              </w:rPr>
              <w:fldChar w:fldCharType="separate"/>
            </w:r>
            <w:r w:rsidRPr="0032664E">
              <w:rPr>
                <w:rFonts w:ascii="Times New Roman" w:hAnsi="Times New Roman" w:cs="Times New Roman"/>
                <w:color w:val="000000"/>
                <w:sz w:val="20"/>
                <w:vertAlign w:val="superscript"/>
              </w:rPr>
              <w:t>15</w:t>
            </w:r>
            <w:r w:rsidRPr="00EF7B61">
              <w:rPr>
                <w:rFonts w:ascii="Times New Roman" w:hAnsi="Times New Roman" w:cs="Times New Roman"/>
                <w:color w:val="000000"/>
                <w:sz w:val="20"/>
                <w:szCs w:val="20"/>
              </w:rPr>
              <w:fldChar w:fldCharType="end"/>
            </w:r>
          </w:p>
        </w:tc>
        <w:tc>
          <w:tcPr>
            <w:tcW w:w="816" w:type="dxa"/>
          </w:tcPr>
          <w:p w14:paraId="410F0D5F"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7980D232"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5E0CBC74"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29A68463"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28" w:type="dxa"/>
          </w:tcPr>
          <w:p w14:paraId="7431800F"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2A0AC533"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728" w:type="dxa"/>
          </w:tcPr>
          <w:p w14:paraId="7A3BF1D7"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68B9CDC6"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tcPr>
          <w:p w14:paraId="3B180AC2"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9</w:t>
            </w:r>
          </w:p>
        </w:tc>
      </w:tr>
      <w:tr w:rsidR="00E31BD5" w:rsidRPr="00FC4859" w14:paraId="237F5CE0" w14:textId="77777777" w:rsidTr="00637268">
        <w:trPr>
          <w:trHeight w:val="432"/>
        </w:trPr>
        <w:tc>
          <w:tcPr>
            <w:tcW w:w="1161" w:type="dxa"/>
          </w:tcPr>
          <w:p w14:paraId="4CC0350E" w14:textId="77777777" w:rsidR="00E31BD5" w:rsidRPr="00FC4859" w:rsidRDefault="00E31BD5" w:rsidP="00637268">
            <w:pPr>
              <w:pStyle w:val="NormalWeb"/>
              <w:rPr>
                <w:sz w:val="20"/>
                <w:szCs w:val="20"/>
                <w:lang w:val="en-US"/>
              </w:rPr>
            </w:pPr>
            <w:r w:rsidRPr="00EF7B61">
              <w:rPr>
                <w:b/>
                <w:bCs/>
                <w:color w:val="111111"/>
                <w:sz w:val="20"/>
                <w:szCs w:val="20"/>
              </w:rPr>
              <w:t>Park Kun-Bo et al.  (2018)</w:t>
            </w:r>
            <w:r w:rsidRPr="00EF7B61">
              <w:rPr>
                <w:b/>
                <w:bCs/>
                <w:color w:val="111111"/>
                <w:sz w:val="20"/>
                <w:szCs w:val="20"/>
              </w:rPr>
              <w:fldChar w:fldCharType="begin"/>
            </w:r>
            <w:r>
              <w:rPr>
                <w:b/>
                <w:bCs/>
                <w:color w:val="111111"/>
                <w:sz w:val="20"/>
                <w:szCs w:val="20"/>
              </w:rPr>
              <w:instrText xml:space="preserve"> ADDIN ZOTERO_ITEM CSL_CITATION {"citationID":"Qx22Yj0T","properties":{"formattedCitation":"\\super 18\\nosupersub{}","plainCitation":"18","noteIndex":0},"citationItems":[{"id":"TTlgjYNR/ryhx87WQ","uris":["http://zotero.org/users/local/cAs26NOD/items/VKGKRFV3"],"itemData":{"id":445,"type":"article-journal","abstract":"Purpose The aims of this study were to evaluate the recovery of physical function and to investigate whether there are factors that adversely affect functional recovery after cosmetic bilateral lengthening of the tibia.\nMethods One hundred twenty-five healthy individuals who had undergone bilateral cosmetic tibia lengthening by the lengthening and then nail (LATN) method, lengthening over intramedullary nail (LON) method or intramedullary skeletal kinetic distractor (ISKD) were included in the study. Functional outcomes were evaluated using the Sports Activity Rating Scale (SARS), International Knee Documentation Committee (IKDC) Subjective Knee Form and patient self-reported ability scores.\nResults SARS and IKDC scores decreased at post-operative one year and improved significantly at post-operative two years. SARS and IKDC scores recovered similarly to pre-operative levels. Average patient self-reported ability scores at post-operative two years were 94.6 and 89.9 for daily living and light sports, respectively. However, the average score for moderate-to-strenuous sports was 68.1 and 39 patients (31.2%) recorded below average score for the moderate-to-strenuous sports.\nConclusions Patients who had undergone bilateral cosmetic tibial lengthening may expect almost full recovery of daily and light sports activities at post-operativetwo years. However, several patients may feel some limitation in moderate-to-strenuous sports activities.","container-title":"International Orthopaedics","DOI":"10.1007/s00264-018-4159-5","ISSN":"0341-2695, 1432-5195","issue":"9","journalAbbreviation":"International Orthopaedics (SICOT)","language":"en","page":"2017-2023","source":"DOI.org (Crossref)","title":"Functional recovery of daily living and sports activities after cosmetic bilateral tibia lengthening","volume":"43","author":[{"family":"Park","given":"Kun-Bo"},{"family":"Kwak","given":"Yoon Hae"},{"family":"Lee","given":"Jung Woo"},{"family":"Park","given":"Byoung Kyu"},{"family":"Park","given":"Hoon"},{"family":"Lee","given":"Dong Hoon"}],"issued":{"date-parts":[["2019",9]]}}}],"schema":"https://github.com/citation-style-language/schema/raw/master/csl-citation.json"} </w:instrText>
            </w:r>
            <w:r w:rsidRPr="00EF7B61">
              <w:rPr>
                <w:b/>
                <w:bCs/>
                <w:color w:val="111111"/>
                <w:sz w:val="20"/>
                <w:szCs w:val="20"/>
              </w:rPr>
              <w:fldChar w:fldCharType="separate"/>
            </w:r>
            <w:r w:rsidRPr="0032664E">
              <w:rPr>
                <w:color w:val="000000"/>
                <w:sz w:val="20"/>
                <w:vertAlign w:val="superscript"/>
              </w:rPr>
              <w:t>18</w:t>
            </w:r>
            <w:r w:rsidRPr="00EF7B61">
              <w:rPr>
                <w:color w:val="111111"/>
                <w:sz w:val="20"/>
                <w:szCs w:val="20"/>
              </w:rPr>
              <w:fldChar w:fldCharType="end"/>
            </w:r>
          </w:p>
        </w:tc>
        <w:tc>
          <w:tcPr>
            <w:tcW w:w="816" w:type="dxa"/>
          </w:tcPr>
          <w:p w14:paraId="04C03DE5"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72" w:type="dxa"/>
          </w:tcPr>
          <w:p w14:paraId="5E132B91"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207B4E6B"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72" w:type="dxa"/>
          </w:tcPr>
          <w:p w14:paraId="357C1233"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28" w:type="dxa"/>
          </w:tcPr>
          <w:p w14:paraId="73D2F242"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7EA4D5F8"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728" w:type="dxa"/>
          </w:tcPr>
          <w:p w14:paraId="14B17F03"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78624990"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tcPr>
          <w:p w14:paraId="6DAD1158"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13</w:t>
            </w:r>
          </w:p>
        </w:tc>
      </w:tr>
      <w:tr w:rsidR="00E31BD5" w:rsidRPr="00FC4859" w14:paraId="2A0EAAF3" w14:textId="77777777" w:rsidTr="00637268">
        <w:trPr>
          <w:trHeight w:val="432"/>
        </w:trPr>
        <w:tc>
          <w:tcPr>
            <w:tcW w:w="1161" w:type="dxa"/>
          </w:tcPr>
          <w:p w14:paraId="681AB33F" w14:textId="77777777" w:rsidR="00E31BD5" w:rsidRPr="00FC4859" w:rsidRDefault="00E31BD5" w:rsidP="00637268">
            <w:pPr>
              <w:rPr>
                <w:rFonts w:ascii="Times New Roman" w:hAnsi="Times New Roman" w:cs="Times New Roman"/>
                <w:color w:val="000000"/>
                <w:sz w:val="20"/>
                <w:szCs w:val="20"/>
                <w:highlight w:val="yellow"/>
              </w:rPr>
            </w:pPr>
            <w:r w:rsidRPr="00EF7B61">
              <w:rPr>
                <w:rFonts w:ascii="Times New Roman" w:hAnsi="Times New Roman" w:cs="Times New Roman"/>
                <w:b/>
                <w:bCs/>
                <w:color w:val="000000"/>
                <w:sz w:val="20"/>
                <w:szCs w:val="20"/>
                <w:lang w:val="de-DE"/>
              </w:rPr>
              <w:t xml:space="preserve">Park Hui Wan et al. </w:t>
            </w:r>
            <w:r w:rsidRPr="00EF7B61">
              <w:rPr>
                <w:rFonts w:ascii="Times New Roman" w:hAnsi="Times New Roman" w:cs="Times New Roman"/>
                <w:b/>
                <w:bCs/>
                <w:color w:val="000000"/>
                <w:sz w:val="20"/>
                <w:szCs w:val="20"/>
              </w:rPr>
              <w:t>(2008)</w:t>
            </w:r>
          </w:p>
        </w:tc>
        <w:tc>
          <w:tcPr>
            <w:tcW w:w="816" w:type="dxa"/>
          </w:tcPr>
          <w:p w14:paraId="635B68BA"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72" w:type="dxa"/>
          </w:tcPr>
          <w:p w14:paraId="44CD968A"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1E150659"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27A1527C"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28" w:type="dxa"/>
          </w:tcPr>
          <w:p w14:paraId="72E623D4"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w:t>
            </w:r>
          </w:p>
        </w:tc>
        <w:tc>
          <w:tcPr>
            <w:tcW w:w="1172" w:type="dxa"/>
          </w:tcPr>
          <w:p w14:paraId="01F9727B"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728" w:type="dxa"/>
          </w:tcPr>
          <w:p w14:paraId="59A992E7"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2</w:t>
            </w:r>
          </w:p>
        </w:tc>
        <w:tc>
          <w:tcPr>
            <w:tcW w:w="1161" w:type="dxa"/>
          </w:tcPr>
          <w:p w14:paraId="597586EE" w14:textId="77777777" w:rsidR="00E31BD5" w:rsidRPr="00FC4859" w:rsidRDefault="00E31BD5" w:rsidP="00637268">
            <w:pPr>
              <w:jc w:val="right"/>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0</w:t>
            </w:r>
          </w:p>
        </w:tc>
        <w:tc>
          <w:tcPr>
            <w:tcW w:w="1006" w:type="dxa"/>
          </w:tcPr>
          <w:p w14:paraId="0CC62F3B" w14:textId="77777777" w:rsidR="00E31BD5" w:rsidRPr="00FC4859" w:rsidRDefault="00E31BD5" w:rsidP="00637268">
            <w:pPr>
              <w:jc w:val="center"/>
              <w:rPr>
                <w:rFonts w:ascii="Times New Roman" w:eastAsia="Times New Roman" w:hAnsi="Times New Roman" w:cs="Times New Roman"/>
                <w:color w:val="000000"/>
                <w:sz w:val="20"/>
                <w:szCs w:val="20"/>
                <w:lang w:eastAsia="it-IT"/>
              </w:rPr>
            </w:pPr>
            <w:r w:rsidRPr="00FC4859">
              <w:rPr>
                <w:rFonts w:ascii="Times New Roman" w:eastAsia="Times New Roman" w:hAnsi="Times New Roman" w:cs="Times New Roman"/>
                <w:color w:val="000000"/>
                <w:sz w:val="20"/>
                <w:szCs w:val="20"/>
                <w:lang w:eastAsia="it-IT"/>
              </w:rPr>
              <w:t>12</w:t>
            </w:r>
          </w:p>
        </w:tc>
      </w:tr>
    </w:tbl>
    <w:p w14:paraId="0FC0EED1" w14:textId="77777777" w:rsidR="00E31BD5" w:rsidRDefault="00E31BD5" w:rsidP="00E31BD5">
      <w:pPr>
        <w:spacing w:line="360" w:lineRule="auto"/>
        <w:jc w:val="both"/>
        <w:rPr>
          <w:rFonts w:ascii="Times" w:hAnsi="Times"/>
          <w:lang w:val="en-US"/>
        </w:rPr>
      </w:pPr>
    </w:p>
    <w:p w14:paraId="02CD6894" w14:textId="77777777" w:rsidR="00B863D3" w:rsidRDefault="00B863D3"/>
    <w:sectPr w:rsidR="00B863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BD5"/>
    <w:rsid w:val="000F53A6"/>
    <w:rsid w:val="00224DB5"/>
    <w:rsid w:val="003A4D8E"/>
    <w:rsid w:val="005812D5"/>
    <w:rsid w:val="007B6FB2"/>
    <w:rsid w:val="00852422"/>
    <w:rsid w:val="00A36382"/>
    <w:rsid w:val="00B863D3"/>
    <w:rsid w:val="00E31BD5"/>
    <w:rsid w:val="00EA7CFB"/>
    <w:rsid w:val="00EF6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BEB4"/>
  <w15:chartTrackingRefBased/>
  <w15:docId w15:val="{0638389A-65CD-404A-9A94-FC8B87BF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BD5"/>
    <w:pPr>
      <w:spacing w:after="0" w:line="240" w:lineRule="auto"/>
    </w:pPr>
    <w:rPr>
      <w:kern w:val="0"/>
      <w:lang w:val="it-IT"/>
      <w14:ligatures w14:val="none"/>
    </w:rPr>
  </w:style>
  <w:style w:type="paragraph" w:styleId="Heading1">
    <w:name w:val="heading 1"/>
    <w:basedOn w:val="Normal"/>
    <w:next w:val="Normal"/>
    <w:link w:val="Heading1Char"/>
    <w:uiPriority w:val="9"/>
    <w:qFormat/>
    <w:rsid w:val="00E31BD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E31BD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31BD5"/>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31BD5"/>
    <w:pPr>
      <w:keepNext/>
      <w:keepLines/>
      <w:spacing w:before="80" w:after="40" w:line="278" w:lineRule="auto"/>
      <w:outlineLvl w:val="3"/>
    </w:pPr>
    <w:rPr>
      <w:rFonts w:eastAsiaTheme="majorEastAsia"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E31BD5"/>
    <w:pPr>
      <w:keepNext/>
      <w:keepLines/>
      <w:spacing w:before="80" w:after="40" w:line="278" w:lineRule="auto"/>
      <w:outlineLvl w:val="4"/>
    </w:pPr>
    <w:rPr>
      <w:rFonts w:eastAsiaTheme="majorEastAsia"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E31BD5"/>
    <w:pPr>
      <w:keepNext/>
      <w:keepLines/>
      <w:spacing w:before="40" w:line="278" w:lineRule="auto"/>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E31BD5"/>
    <w:pPr>
      <w:keepNext/>
      <w:keepLines/>
      <w:spacing w:before="40" w:line="278" w:lineRule="auto"/>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E31BD5"/>
    <w:pPr>
      <w:keepNext/>
      <w:keepLines/>
      <w:spacing w:line="278" w:lineRule="auto"/>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E31BD5"/>
    <w:pPr>
      <w:keepNext/>
      <w:keepLines/>
      <w:spacing w:line="278" w:lineRule="auto"/>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B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B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B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B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B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B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B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B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BD5"/>
    <w:rPr>
      <w:rFonts w:eastAsiaTheme="majorEastAsia" w:cstheme="majorBidi"/>
      <w:color w:val="272727" w:themeColor="text1" w:themeTint="D8"/>
    </w:rPr>
  </w:style>
  <w:style w:type="paragraph" w:styleId="Title">
    <w:name w:val="Title"/>
    <w:basedOn w:val="Normal"/>
    <w:next w:val="Normal"/>
    <w:link w:val="TitleChar"/>
    <w:uiPriority w:val="10"/>
    <w:qFormat/>
    <w:rsid w:val="00E31BD5"/>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31B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BD5"/>
    <w:pPr>
      <w:numPr>
        <w:ilvl w:val="1"/>
      </w:numPr>
      <w:spacing w:after="160"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31B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BD5"/>
    <w:pPr>
      <w:spacing w:before="160" w:after="160" w:line="278" w:lineRule="auto"/>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E31BD5"/>
    <w:rPr>
      <w:i/>
      <w:iCs/>
      <w:color w:val="404040" w:themeColor="text1" w:themeTint="BF"/>
    </w:rPr>
  </w:style>
  <w:style w:type="paragraph" w:styleId="ListParagraph">
    <w:name w:val="List Paragraph"/>
    <w:basedOn w:val="Normal"/>
    <w:uiPriority w:val="34"/>
    <w:qFormat/>
    <w:rsid w:val="00E31BD5"/>
    <w:pPr>
      <w:spacing w:after="160" w:line="278" w:lineRule="auto"/>
      <w:ind w:left="720"/>
      <w:contextualSpacing/>
    </w:pPr>
    <w:rPr>
      <w:kern w:val="2"/>
      <w:lang w:val="en-US"/>
      <w14:ligatures w14:val="standardContextual"/>
    </w:rPr>
  </w:style>
  <w:style w:type="character" w:styleId="IntenseEmphasis">
    <w:name w:val="Intense Emphasis"/>
    <w:basedOn w:val="DefaultParagraphFont"/>
    <w:uiPriority w:val="21"/>
    <w:qFormat/>
    <w:rsid w:val="00E31BD5"/>
    <w:rPr>
      <w:i/>
      <w:iCs/>
      <w:color w:val="0F4761" w:themeColor="accent1" w:themeShade="BF"/>
    </w:rPr>
  </w:style>
  <w:style w:type="paragraph" w:styleId="IntenseQuote">
    <w:name w:val="Intense Quote"/>
    <w:basedOn w:val="Normal"/>
    <w:next w:val="Normal"/>
    <w:link w:val="IntenseQuoteChar"/>
    <w:uiPriority w:val="30"/>
    <w:qFormat/>
    <w:rsid w:val="00E31BD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E31BD5"/>
    <w:rPr>
      <w:i/>
      <w:iCs/>
      <w:color w:val="0F4761" w:themeColor="accent1" w:themeShade="BF"/>
    </w:rPr>
  </w:style>
  <w:style w:type="character" w:styleId="IntenseReference">
    <w:name w:val="Intense Reference"/>
    <w:basedOn w:val="DefaultParagraphFont"/>
    <w:uiPriority w:val="32"/>
    <w:qFormat/>
    <w:rsid w:val="00E31BD5"/>
    <w:rPr>
      <w:b/>
      <w:bCs/>
      <w:smallCaps/>
      <w:color w:val="0F4761" w:themeColor="accent1" w:themeShade="BF"/>
      <w:spacing w:val="5"/>
    </w:rPr>
  </w:style>
  <w:style w:type="table" w:styleId="TableGrid">
    <w:name w:val="Table Grid"/>
    <w:basedOn w:val="TableNormal"/>
    <w:uiPriority w:val="39"/>
    <w:rsid w:val="00E31BD5"/>
    <w:pPr>
      <w:spacing w:after="0" w:line="240" w:lineRule="auto"/>
    </w:pPr>
    <w:rPr>
      <w:kern w:val="0"/>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31BD5"/>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3365</Words>
  <Characters>19183</Characters>
  <Application>Microsoft Office Word</Application>
  <DocSecurity>0</DocSecurity>
  <Lines>159</Lines>
  <Paragraphs>45</Paragraphs>
  <ScaleCrop>false</ScaleCrop>
  <Company>Springer Nature</Company>
  <LinksUpToDate>false</LinksUpToDate>
  <CharactersWithSpaces>22503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Gujare</dc:creator>
  <cp:keywords/>
  <dc:description/>
  <cp:lastModifiedBy>Monika Gujare</cp:lastModifiedBy>
  <cp:revision>1</cp:revision>
  <dcterms:created xsi:type="dcterms:W3CDTF">2025-04-13T18:47:00Z</dcterms:created>
  <dcterms:modified xsi:type="dcterms:W3CDTF">2025-04-13T18:47:00Z</dcterms:modified>
</cp:coreProperties>
</file>