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EFBF0" w14:textId="77777777" w:rsidR="002857D3" w:rsidRDefault="00AA3A3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Supplemental Content</w:t>
      </w:r>
      <w:r>
        <w:rPr>
          <w:rFonts w:ascii="Times New Roman" w:eastAsia="宋体" w:hAnsi="Times New Roman" w:cs="Times New Roman"/>
          <w:b/>
          <w:bCs/>
          <w:sz w:val="28"/>
          <w:szCs w:val="28"/>
          <w:lang w:val="en-US" w:eastAsia="zh-CN"/>
        </w:rPr>
        <w:t>s</w:t>
      </w:r>
    </w:p>
    <w:p w14:paraId="1743E43B" w14:textId="77777777" w:rsidR="002857D3" w:rsidRDefault="002857D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22976E32" w14:textId="77777777" w:rsidR="002857D3" w:rsidRDefault="00AA3A3A">
      <w:pPr>
        <w:adjustRightInd w:val="0"/>
        <w:snapToGri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Oblique Lumbar Interbody Fusion vs. Posterior Lumbar Interbody Fusion for Adjacent Segment Disease Following Prior Lumbar Fusion: A Meta-analysis</w:t>
      </w:r>
    </w:p>
    <w:p w14:paraId="266B47F0" w14:textId="77777777" w:rsidR="002857D3" w:rsidRDefault="00AA3A3A">
      <w:pPr>
        <w:adjustRightInd w:val="0"/>
        <w:snapToGrid w:val="0"/>
        <w:spacing w:after="0" w:line="360" w:lineRule="auto"/>
        <w:jc w:val="center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ascii="Times New Roman" w:hAnsi="Times New Roman" w:cs="Times New Roman"/>
          <w:sz w:val="21"/>
          <w:szCs w:val="21"/>
          <w:lang w:eastAsia="zh-CN"/>
        </w:rPr>
        <w:t>Ming Chen</w:t>
      </w:r>
      <w:r>
        <w:rPr>
          <w:rFonts w:ascii="Times New Roman" w:hAnsi="Times New Roman" w:cs="Times New Roman"/>
          <w:sz w:val="21"/>
          <w:szCs w:val="21"/>
          <w:vertAlign w:val="superscript"/>
          <w:lang w:eastAsia="zh-CN"/>
        </w:rPr>
        <w:t>a, 1</w:t>
      </w:r>
      <w:r>
        <w:rPr>
          <w:rFonts w:ascii="Times New Roman" w:hAnsi="Times New Roman" w:cs="Times New Roman"/>
          <w:sz w:val="21"/>
          <w:szCs w:val="21"/>
          <w:lang w:eastAsia="zh-CN"/>
        </w:rPr>
        <w:t>, Xiaoyu Xia</w:t>
      </w:r>
      <w:r>
        <w:rPr>
          <w:rFonts w:ascii="Times New Roman" w:hAnsi="Times New Roman" w:cs="Times New Roman"/>
          <w:sz w:val="21"/>
          <w:szCs w:val="21"/>
          <w:vertAlign w:val="superscript"/>
          <w:lang w:eastAsia="zh-CN"/>
        </w:rPr>
        <w:t>b, 1</w:t>
      </w:r>
      <w:r>
        <w:rPr>
          <w:rFonts w:ascii="Times New Roman" w:hAnsi="Times New Roman" w:cs="Times New Roman"/>
          <w:sz w:val="21"/>
          <w:szCs w:val="21"/>
          <w:lang w:val="en-US" w:eastAsia="zh-CN"/>
        </w:rPr>
        <w:t>, Yifan Wei</w:t>
      </w:r>
      <w:r>
        <w:rPr>
          <w:rFonts w:ascii="Times New Roman" w:hAnsi="Times New Roman" w:cs="Times New Roman"/>
          <w:sz w:val="21"/>
          <w:szCs w:val="21"/>
          <w:vertAlign w:val="superscript"/>
          <w:lang w:val="en-US" w:eastAsia="zh-CN"/>
        </w:rPr>
        <w:t>c, d, 1</w:t>
      </w:r>
      <w:r>
        <w:rPr>
          <w:rFonts w:ascii="Times New Roman" w:hAnsi="Times New Roman" w:cs="Times New Roman"/>
          <w:sz w:val="21"/>
          <w:szCs w:val="21"/>
          <w:lang w:val="en-US" w:eastAsia="zh-CN"/>
        </w:rPr>
        <w:t xml:space="preserve">, </w:t>
      </w:r>
      <w:bookmarkStart w:id="0" w:name="OLE_LINK3"/>
      <w:r>
        <w:rPr>
          <w:rFonts w:ascii="Times New Roman" w:hAnsi="Times New Roman" w:cs="Times New Roman"/>
          <w:sz w:val="21"/>
          <w:szCs w:val="21"/>
          <w:lang w:val="en-US" w:eastAsia="zh-CN"/>
        </w:rPr>
        <w:t>Yu Jin</w:t>
      </w:r>
      <w:bookmarkEnd w:id="0"/>
      <w:r>
        <w:rPr>
          <w:rFonts w:ascii="Times New Roman" w:hAnsi="Times New Roman" w:cs="Times New Roman"/>
          <w:sz w:val="21"/>
          <w:szCs w:val="21"/>
          <w:vertAlign w:val="superscript"/>
          <w:lang w:val="en-US" w:eastAsia="zh-CN"/>
        </w:rPr>
        <w:t>e</w:t>
      </w:r>
      <w:r>
        <w:rPr>
          <w:rFonts w:ascii="Times New Roman" w:hAnsi="Times New Roman" w:cs="Times New Roman"/>
          <w:sz w:val="21"/>
          <w:szCs w:val="21"/>
          <w:lang w:val="en-US" w:eastAsia="zh-CN"/>
        </w:rPr>
        <w:t>, Cheng Ma</w:t>
      </w:r>
      <w:r>
        <w:rPr>
          <w:rFonts w:ascii="Times New Roman" w:hAnsi="Times New Roman" w:cs="Times New Roman"/>
          <w:sz w:val="21"/>
          <w:szCs w:val="21"/>
          <w:vertAlign w:val="superscript"/>
          <w:lang w:val="en-US" w:eastAsia="zh-CN"/>
        </w:rPr>
        <w:t>d</w:t>
      </w:r>
      <w:r>
        <w:rPr>
          <w:rFonts w:ascii="Times New Roman" w:hAnsi="Times New Roman" w:cs="Times New Roman"/>
          <w:sz w:val="21"/>
          <w:szCs w:val="21"/>
          <w:lang w:val="en-US" w:eastAsia="zh-CN"/>
        </w:rPr>
        <w:t>, Yongxin Ren</w:t>
      </w:r>
      <w:r>
        <w:rPr>
          <w:rFonts w:ascii="Times New Roman" w:hAnsi="Times New Roman" w:cs="Times New Roman"/>
          <w:sz w:val="21"/>
          <w:szCs w:val="21"/>
          <w:vertAlign w:val="superscript"/>
          <w:lang w:val="en-US" w:eastAsia="zh-CN"/>
        </w:rPr>
        <w:t>d</w:t>
      </w:r>
      <w:r>
        <w:rPr>
          <w:rFonts w:ascii="Times New Roman" w:hAnsi="Times New Roman" w:cs="Times New Roman"/>
          <w:sz w:val="21"/>
          <w:szCs w:val="21"/>
          <w:lang w:val="en-US" w:eastAsia="zh-CN"/>
        </w:rPr>
        <w:t xml:space="preserve">, </w:t>
      </w:r>
      <w:r>
        <w:rPr>
          <w:rFonts w:ascii="Times New Roman" w:hAnsi="Times New Roman" w:cs="Times New Roman"/>
          <w:sz w:val="21"/>
          <w:szCs w:val="21"/>
          <w:lang w:eastAsia="zh-CN"/>
        </w:rPr>
        <w:t>You Lv</w:t>
      </w:r>
      <w:r>
        <w:rPr>
          <w:rFonts w:ascii="Times New Roman" w:hAnsi="Times New Roman" w:cs="Times New Roman"/>
          <w:sz w:val="21"/>
          <w:szCs w:val="21"/>
          <w:vertAlign w:val="superscript"/>
          <w:lang w:eastAsia="zh-CN"/>
        </w:rPr>
        <w:t xml:space="preserve">f, d, * </w:t>
      </w:r>
    </w:p>
    <w:p w14:paraId="7CB37882" w14:textId="77777777" w:rsidR="002857D3" w:rsidRDefault="002857D3">
      <w:pPr>
        <w:adjustRightInd w:val="0"/>
        <w:snapToGrid w:val="0"/>
        <w:spacing w:after="0"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0C230785" w14:textId="77777777" w:rsidR="002857D3" w:rsidRDefault="00AA3A3A">
      <w:pPr>
        <w:adjustRightInd w:val="0"/>
        <w:snapToGrid w:val="0"/>
        <w:spacing w:after="0" w:line="360" w:lineRule="auto"/>
        <w:rPr>
          <w:rFonts w:ascii="Times New Roman" w:hAnsi="Times New Roman" w:cs="Times New Roman"/>
          <w:sz w:val="21"/>
          <w:szCs w:val="21"/>
          <w:lang w:val="en-US" w:eastAsia="zh-CN"/>
        </w:rPr>
      </w:pPr>
      <w:r>
        <w:rPr>
          <w:rFonts w:ascii="Times New Roman" w:hAnsi="Times New Roman" w:cs="Times New Roman"/>
          <w:sz w:val="21"/>
          <w:szCs w:val="21"/>
          <w:lang w:eastAsia="zh-CN"/>
        </w:rPr>
        <w:t>a Department of Trauma Center, the Second People's Hospital of Lianyungang, Cancer Hospital of Lianyungang, 161Xingfu Rd, Lianyungang 222023, China</w:t>
      </w:r>
    </w:p>
    <w:p w14:paraId="36E42932" w14:textId="77777777" w:rsidR="002857D3" w:rsidRDefault="00AA3A3A">
      <w:pPr>
        <w:adjustRightInd w:val="0"/>
        <w:snapToGrid w:val="0"/>
        <w:spacing w:after="0"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ascii="Times New Roman" w:hAnsi="Times New Roman" w:cs="Times New Roman"/>
          <w:sz w:val="21"/>
          <w:szCs w:val="21"/>
          <w:lang w:eastAsia="zh-CN"/>
        </w:rPr>
        <w:t>b The Second Clinical Medical School of Nanjing Medical University, 101 Longmian Avenue, Nanjing 211166, China</w:t>
      </w:r>
    </w:p>
    <w:p w14:paraId="6A0D3FA0" w14:textId="77777777" w:rsidR="002857D3" w:rsidRDefault="00AA3A3A">
      <w:pPr>
        <w:adjustRightInd w:val="0"/>
        <w:snapToGrid w:val="0"/>
        <w:spacing w:after="0"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ascii="Times New Roman" w:hAnsi="Times New Roman" w:cs="Times New Roman"/>
          <w:sz w:val="21"/>
          <w:szCs w:val="21"/>
          <w:lang w:eastAsia="zh-CN"/>
        </w:rPr>
        <w:t>c Department of Orthopedic Surgery, Peking Union Medical College Hospital, Peking Union Medical College and Chinese Academy of Medical Sciences, No. 1 Shuaifuyuan, Beijing, 100730, China.</w:t>
      </w:r>
    </w:p>
    <w:p w14:paraId="194EBC83" w14:textId="77777777" w:rsidR="002857D3" w:rsidRDefault="00AA3A3A">
      <w:pPr>
        <w:adjustRightInd w:val="0"/>
        <w:snapToGrid w:val="0"/>
        <w:spacing w:after="0" w:line="360" w:lineRule="auto"/>
        <w:rPr>
          <w:rFonts w:ascii="Times New Roman" w:hAnsi="Times New Roman" w:cs="Times New Roman"/>
          <w:sz w:val="21"/>
          <w:szCs w:val="21"/>
          <w:lang w:val="en-US" w:eastAsia="zh-CN"/>
        </w:rPr>
      </w:pPr>
      <w:r>
        <w:rPr>
          <w:rFonts w:ascii="Times New Roman" w:hAnsi="Times New Roman" w:cs="Times New Roman"/>
          <w:sz w:val="21"/>
          <w:szCs w:val="21"/>
          <w:lang w:eastAsia="zh-CN"/>
        </w:rPr>
        <w:t>d Department of Orthopedics, The First Affiliated Hospital of Nanjing Medical University, 300 Guangzhou Rd, Nanjing 210029, China.</w:t>
      </w:r>
    </w:p>
    <w:p w14:paraId="7CA2A9D4" w14:textId="77777777" w:rsidR="002857D3" w:rsidRDefault="00AA3A3A">
      <w:pPr>
        <w:adjustRightInd w:val="0"/>
        <w:snapToGrid w:val="0"/>
        <w:spacing w:after="0"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ascii="Times New Roman" w:hAnsi="Times New Roman" w:cs="Times New Roman"/>
          <w:sz w:val="21"/>
          <w:szCs w:val="21"/>
          <w:lang w:eastAsia="zh-CN"/>
        </w:rPr>
        <w:t>e Osteoporosis department, Lianyungang Clinical College of Nanjing Medical University, 6 Zhenhua East Rd, Lianyungang 221000, China</w:t>
      </w:r>
    </w:p>
    <w:p w14:paraId="075A2BB8" w14:textId="77777777" w:rsidR="002857D3" w:rsidRDefault="00AA3A3A">
      <w:pPr>
        <w:adjustRightInd w:val="0"/>
        <w:snapToGrid w:val="0"/>
        <w:spacing w:after="0"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ascii="Times New Roman" w:hAnsi="Times New Roman" w:cs="Times New Roman"/>
          <w:sz w:val="21"/>
          <w:szCs w:val="21"/>
          <w:lang w:eastAsia="zh-CN"/>
        </w:rPr>
        <w:t>f Department of Orthopedics, Lianyungang Clinical College of Nanjing Medical University, 6 Zhenhua East Rd, Lianyungang 221000, China</w:t>
      </w:r>
    </w:p>
    <w:p w14:paraId="294BF581" w14:textId="77777777" w:rsidR="002857D3" w:rsidRDefault="002857D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2163086" w14:textId="77777777" w:rsidR="002857D3" w:rsidRDefault="00AA3A3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宋体" w:hAnsi="Times New Roman" w:cs="Times New Roman" w:hint="eastAsia"/>
          <w:sz w:val="24"/>
          <w:szCs w:val="24"/>
          <w:lang w:val="en-US"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Appendix I. Search Strategy</w:t>
      </w:r>
    </w:p>
    <w:p w14:paraId="08507CA5" w14:textId="77777777" w:rsidR="002857D3" w:rsidRDefault="00AA3A3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宋体" w:hAnsi="Times New Roman" w:cs="Times New Roman" w:hint="eastAsia"/>
          <w:sz w:val="24"/>
          <w:szCs w:val="24"/>
          <w:lang w:val="en-US" w:eastAsia="zh-CN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Appendix 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Ⅱ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 Summary of Reason</w:t>
      </w:r>
      <w:r>
        <w:rPr>
          <w:rFonts w:ascii="Times New Roman" w:eastAsia="宋体" w:hAnsi="Times New Roman" w:cs="Times New Roman" w:hint="eastAsia"/>
          <w:sz w:val="24"/>
          <w:szCs w:val="24"/>
          <w:lang w:val="en-US" w:eastAsia="zh-CN"/>
        </w:rPr>
        <w:t xml:space="preserve"> for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Excluded Studies </w:t>
      </w:r>
    </w:p>
    <w:p w14:paraId="12CA7201" w14:textId="77777777" w:rsidR="002857D3" w:rsidRDefault="00AA3A3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sectPr w:rsidR="002857D3" w:rsidSect="00C764C9">
          <w:footerReference w:type="even" r:id="rId7"/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eastAsia="宋体" w:hAnsi="Times New Roman" w:cs="Times New Roman" w:hint="eastAsia"/>
          <w:sz w:val="24"/>
          <w:szCs w:val="24"/>
          <w:lang w:val="en-US" w:eastAsia="zh-CN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) </w:t>
      </w:r>
      <w:r>
        <w:rPr>
          <w:rFonts w:ascii="Times New Roman" w:eastAsia="宋体" w:hAnsi="Times New Roman" w:cs="Times New Roman"/>
          <w:sz w:val="24"/>
          <w:szCs w:val="24"/>
        </w:rPr>
        <w:t xml:space="preserve">Appendix 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Ⅲ</w:t>
      </w:r>
      <w:r>
        <w:rPr>
          <w:rFonts w:ascii="Times New Roman" w:eastAsia="宋体" w:hAnsi="Times New Roman" w:cs="Times New Roman" w:hint="eastAsia"/>
          <w:sz w:val="24"/>
          <w:szCs w:val="24"/>
          <w:lang w:val="en-US" w:eastAsia="zh-CN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  <w:lang w:val="en-US" w:eastAsia="zh-CN"/>
        </w:rPr>
        <w:t>Detailed assessme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nt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of 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he 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Q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uality of 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ncluded 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tudies</w:t>
      </w:r>
    </w:p>
    <w:p w14:paraId="7B843C58" w14:textId="77777777" w:rsidR="002857D3" w:rsidRDefault="00AA3A3A">
      <w:pPr>
        <w:spacing w:after="0" w:line="480" w:lineRule="auto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lastRenderedPageBreak/>
        <w:t xml:space="preserve">Appendix </w:t>
      </w:r>
      <w:r>
        <w:rPr>
          <w:rFonts w:ascii="Times New Roman" w:eastAsia="Times New Roman" w:hAnsi="Times New Roman" w:cs="Times New Roman"/>
          <w:sz w:val="21"/>
          <w:szCs w:val="21"/>
          <w:lang w:val="en-US"/>
        </w:rPr>
        <w:t>I</w:t>
      </w:r>
      <w:r>
        <w:rPr>
          <w:rFonts w:ascii="Times New Roman" w:eastAsia="宋体" w:hAnsi="Times New Roman" w:cs="Times New Roman"/>
          <w:b/>
          <w:bCs/>
          <w:sz w:val="21"/>
          <w:szCs w:val="21"/>
          <w:lang w:val="en-US" w:eastAsia="zh-CN"/>
        </w:rPr>
        <w:t xml:space="preserve">: </w:t>
      </w:r>
      <w:r>
        <w:rPr>
          <w:rFonts w:ascii="Times New Roman" w:eastAsia="宋体" w:hAnsi="Times New Roman" w:cs="Times New Roman" w:hint="eastAsia"/>
          <w:b/>
          <w:bCs/>
          <w:sz w:val="21"/>
          <w:szCs w:val="21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earch </w:t>
      </w:r>
      <w:r>
        <w:rPr>
          <w:rFonts w:ascii="Times New Roman" w:eastAsia="宋体" w:hAnsi="Times New Roman" w:cs="Times New Roman" w:hint="eastAsia"/>
          <w:b/>
          <w:bCs/>
          <w:sz w:val="21"/>
          <w:szCs w:val="21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sz w:val="21"/>
          <w:szCs w:val="21"/>
        </w:rPr>
        <w:t>trategy</w:t>
      </w:r>
    </w:p>
    <w:tbl>
      <w:tblPr>
        <w:tblStyle w:val="ae"/>
        <w:tblW w:w="9164" w:type="dxa"/>
        <w:tblInd w:w="45" w:type="dxa"/>
        <w:tblLook w:val="04A0" w:firstRow="1" w:lastRow="0" w:firstColumn="1" w:lastColumn="0" w:noHBand="0" w:noVBand="1"/>
      </w:tblPr>
      <w:tblGrid>
        <w:gridCol w:w="1161"/>
        <w:gridCol w:w="889"/>
        <w:gridCol w:w="5715"/>
        <w:gridCol w:w="1399"/>
      </w:tblGrid>
      <w:tr w:rsidR="002857D3" w14:paraId="4A6924CF" w14:textId="77777777">
        <w:tc>
          <w:tcPr>
            <w:tcW w:w="1161" w:type="dxa"/>
            <w:vAlign w:val="center"/>
          </w:tcPr>
          <w:p w14:paraId="1B0BEDB6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Database</w:t>
            </w:r>
          </w:p>
        </w:tc>
        <w:tc>
          <w:tcPr>
            <w:tcW w:w="889" w:type="dxa"/>
          </w:tcPr>
          <w:p w14:paraId="33AB2EC4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Search</w:t>
            </w:r>
          </w:p>
        </w:tc>
        <w:tc>
          <w:tcPr>
            <w:tcW w:w="5715" w:type="dxa"/>
          </w:tcPr>
          <w:p w14:paraId="492DF244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Query</w:t>
            </w:r>
          </w:p>
        </w:tc>
        <w:tc>
          <w:tcPr>
            <w:tcW w:w="1399" w:type="dxa"/>
            <w:vAlign w:val="center"/>
          </w:tcPr>
          <w:p w14:paraId="02B3E51C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Items found</w:t>
            </w:r>
          </w:p>
        </w:tc>
      </w:tr>
      <w:tr w:rsidR="002857D3" w14:paraId="2FEF41EF" w14:textId="77777777">
        <w:tc>
          <w:tcPr>
            <w:tcW w:w="1161" w:type="dxa"/>
            <w:vMerge w:val="restart"/>
            <w:vAlign w:val="center"/>
          </w:tcPr>
          <w:p w14:paraId="3EB5F789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5"/>
                <w:szCs w:val="15"/>
                <w:lang w:val="en-US" w:eastAsia="zh-CN"/>
              </w:rPr>
              <w:t>PubMed</w:t>
            </w:r>
            <w:r>
              <w:rPr>
                <w:rFonts w:ascii="Times New Roman" w:hAnsi="Times New Roman" w:cs="Times New Roman" w:hint="eastAsia"/>
                <w:bCs/>
                <w:sz w:val="15"/>
                <w:szCs w:val="15"/>
                <w:lang w:val="en-US" w:eastAsia="zh-CN"/>
              </w:rPr>
              <w:t>（</w:t>
            </w:r>
            <w:r>
              <w:rPr>
                <w:rFonts w:ascii="Times New Roman" w:hAnsi="Times New Roman" w:cs="Times New Roman" w:hint="eastAsia"/>
                <w:bCs/>
                <w:sz w:val="15"/>
                <w:szCs w:val="15"/>
                <w:lang w:val="en-US" w:eastAsia="zh-CN"/>
              </w:rPr>
              <w:t>398</w:t>
            </w:r>
            <w:r>
              <w:rPr>
                <w:rFonts w:ascii="Times New Roman" w:hAnsi="Times New Roman" w:cs="Times New Roman" w:hint="eastAsia"/>
                <w:bCs/>
                <w:sz w:val="15"/>
                <w:szCs w:val="15"/>
                <w:lang w:val="en-US" w:eastAsia="zh-CN"/>
              </w:rPr>
              <w:t>）</w:t>
            </w:r>
          </w:p>
        </w:tc>
        <w:tc>
          <w:tcPr>
            <w:tcW w:w="889" w:type="dxa"/>
          </w:tcPr>
          <w:p w14:paraId="65E6278C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#1</w:t>
            </w:r>
          </w:p>
        </w:tc>
        <w:tc>
          <w:tcPr>
            <w:tcW w:w="5715" w:type="dxa"/>
            <w:shd w:val="clear" w:color="auto" w:fill="auto"/>
          </w:tcPr>
          <w:p w14:paraId="49880B76" w14:textId="77777777" w:rsidR="002857D3" w:rsidRDefault="00AA3A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(((((adjacent segment degeneration) OR (adjacent segment degeneration[Title/Abstract])) OR (adjacent segment degenerative disease)) OR (adjacent segment degenerative disease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[Title/Abstract])) OR (adjacent segment disease)) OR (adjacent segment disease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[Title/Abstract])</w:t>
            </w:r>
          </w:p>
          <w:p w14:paraId="032C9366" w14:textId="77777777" w:rsidR="002857D3" w:rsidRDefault="002857D3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1399" w:type="dxa"/>
            <w:vAlign w:val="center"/>
          </w:tcPr>
          <w:p w14:paraId="601F6840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5874</w:t>
            </w:r>
          </w:p>
        </w:tc>
      </w:tr>
      <w:tr w:rsidR="002857D3" w14:paraId="626AB068" w14:textId="77777777">
        <w:tc>
          <w:tcPr>
            <w:tcW w:w="1161" w:type="dxa"/>
            <w:vMerge/>
            <w:vAlign w:val="center"/>
          </w:tcPr>
          <w:p w14:paraId="08C140C6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889" w:type="dxa"/>
          </w:tcPr>
          <w:p w14:paraId="78DEA253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#2</w:t>
            </w:r>
          </w:p>
        </w:tc>
        <w:tc>
          <w:tcPr>
            <w:tcW w:w="5715" w:type="dxa"/>
            <w:shd w:val="clear" w:color="auto" w:fill="auto"/>
          </w:tcPr>
          <w:p w14:paraId="1006456A" w14:textId="77777777" w:rsidR="002857D3" w:rsidRDefault="00AA3A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(((((((oblique lumbar interbody fusion) OR (oblique lumbar interbody fusion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[Title/Abstract])) OR (OLIF (oblique lateral interbody fusion))) OR (OLIF (oblique lateral interbody fusion[Title/Abstract]))) OR (OLIF procedure)) OR (OLIF procedure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[Title/Abstract])) OR (oblique lateral interbody fusion)) OR (oblique lateral interbody fusion[Title/Abstract])</w:t>
            </w:r>
          </w:p>
        </w:tc>
        <w:tc>
          <w:tcPr>
            <w:tcW w:w="1399" w:type="dxa"/>
            <w:vAlign w:val="center"/>
          </w:tcPr>
          <w:p w14:paraId="5BA19F57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808</w:t>
            </w:r>
          </w:p>
        </w:tc>
      </w:tr>
      <w:tr w:rsidR="002857D3" w14:paraId="7CF08719" w14:textId="77777777">
        <w:trPr>
          <w:trHeight w:val="90"/>
        </w:trPr>
        <w:tc>
          <w:tcPr>
            <w:tcW w:w="1161" w:type="dxa"/>
            <w:vMerge/>
            <w:vAlign w:val="center"/>
          </w:tcPr>
          <w:p w14:paraId="31FE83E3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889" w:type="dxa"/>
          </w:tcPr>
          <w:p w14:paraId="0C1669D8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#3</w:t>
            </w:r>
          </w:p>
        </w:tc>
        <w:tc>
          <w:tcPr>
            <w:tcW w:w="5715" w:type="dxa"/>
            <w:shd w:val="clear" w:color="auto" w:fill="auto"/>
          </w:tcPr>
          <w:p w14:paraId="52E736CB" w14:textId="77777777" w:rsidR="002857D3" w:rsidRDefault="00AA3A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(((((posterior lumbar interbody fusion) OR (posterior lumbar interbody fusion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[Title/Abstract])) OR (PLIF (posterior lateral interbody fusion[Title/Abstract]))) OR (PLIF procedure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[Title/Abstract])) OR (PLIF)) OR (PLIF[Title/Abstract])</w:t>
            </w:r>
          </w:p>
        </w:tc>
        <w:tc>
          <w:tcPr>
            <w:tcW w:w="1399" w:type="dxa"/>
            <w:vAlign w:val="center"/>
          </w:tcPr>
          <w:p w14:paraId="0B2DF3D9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4228</w:t>
            </w:r>
          </w:p>
        </w:tc>
      </w:tr>
      <w:tr w:rsidR="002857D3" w14:paraId="2C55A3D1" w14:textId="77777777">
        <w:tc>
          <w:tcPr>
            <w:tcW w:w="1161" w:type="dxa"/>
            <w:vMerge/>
            <w:vAlign w:val="center"/>
          </w:tcPr>
          <w:p w14:paraId="327BBDEC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889" w:type="dxa"/>
          </w:tcPr>
          <w:p w14:paraId="5031D9AE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#4</w:t>
            </w:r>
          </w:p>
        </w:tc>
        <w:tc>
          <w:tcPr>
            <w:tcW w:w="5715" w:type="dxa"/>
            <w:shd w:val="clear" w:color="auto" w:fill="auto"/>
          </w:tcPr>
          <w:p w14:paraId="2378C4F9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#1 AND #2</w:t>
            </w:r>
          </w:p>
        </w:tc>
        <w:tc>
          <w:tcPr>
            <w:tcW w:w="1399" w:type="dxa"/>
            <w:vAlign w:val="center"/>
          </w:tcPr>
          <w:p w14:paraId="6B295959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47</w:t>
            </w:r>
          </w:p>
        </w:tc>
      </w:tr>
      <w:tr w:rsidR="002857D3" w14:paraId="6E2A4741" w14:textId="77777777">
        <w:tc>
          <w:tcPr>
            <w:tcW w:w="1161" w:type="dxa"/>
            <w:vMerge/>
            <w:vAlign w:val="center"/>
          </w:tcPr>
          <w:p w14:paraId="6C7A65C2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889" w:type="dxa"/>
          </w:tcPr>
          <w:p w14:paraId="2E9EC5B4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#5</w:t>
            </w:r>
          </w:p>
        </w:tc>
        <w:tc>
          <w:tcPr>
            <w:tcW w:w="5715" w:type="dxa"/>
            <w:shd w:val="clear" w:color="auto" w:fill="auto"/>
          </w:tcPr>
          <w:p w14:paraId="1C13588B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#1 AND #3</w:t>
            </w:r>
          </w:p>
        </w:tc>
        <w:tc>
          <w:tcPr>
            <w:tcW w:w="1399" w:type="dxa"/>
            <w:vAlign w:val="center"/>
          </w:tcPr>
          <w:p w14:paraId="2D389148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375</w:t>
            </w:r>
          </w:p>
        </w:tc>
      </w:tr>
      <w:tr w:rsidR="002857D3" w14:paraId="766DFAFB" w14:textId="77777777">
        <w:tc>
          <w:tcPr>
            <w:tcW w:w="1161" w:type="dxa"/>
            <w:vMerge/>
            <w:vAlign w:val="center"/>
          </w:tcPr>
          <w:p w14:paraId="66FC691E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889" w:type="dxa"/>
          </w:tcPr>
          <w:p w14:paraId="7C59A24D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  <w:t>#6</w:t>
            </w:r>
          </w:p>
        </w:tc>
        <w:tc>
          <w:tcPr>
            <w:tcW w:w="5715" w:type="dxa"/>
            <w:shd w:val="clear" w:color="auto" w:fill="auto"/>
          </w:tcPr>
          <w:p w14:paraId="15B44E39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  <w:lang w:val="en-US"/>
              </w:rPr>
              <w:t>#4 OR #5</w:t>
            </w:r>
          </w:p>
        </w:tc>
        <w:tc>
          <w:tcPr>
            <w:tcW w:w="1399" w:type="dxa"/>
            <w:vAlign w:val="center"/>
          </w:tcPr>
          <w:p w14:paraId="4129AA10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  <w:t>398</w:t>
            </w:r>
          </w:p>
        </w:tc>
      </w:tr>
      <w:tr w:rsidR="002857D3" w14:paraId="16F19808" w14:textId="77777777">
        <w:tc>
          <w:tcPr>
            <w:tcW w:w="1161" w:type="dxa"/>
            <w:vMerge w:val="restart"/>
            <w:vAlign w:val="center"/>
          </w:tcPr>
          <w:p w14:paraId="744260D9" w14:textId="77777777" w:rsidR="002857D3" w:rsidRDefault="00AA3A3A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color w:val="FF0000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  <w:t>Embase</w:t>
            </w:r>
            <w:r>
              <w:rPr>
                <w:rFonts w:ascii="Times New Roman" w:eastAsia="宋体" w:hAnsi="Times New Roman" w:cs="Times New Roman" w:hint="eastAsia"/>
                <w:bCs/>
                <w:sz w:val="15"/>
                <w:szCs w:val="15"/>
                <w:lang w:val="en-US" w:eastAsia="zh-CN"/>
              </w:rPr>
              <w:t>（</w:t>
            </w:r>
            <w:r>
              <w:rPr>
                <w:rFonts w:ascii="Times New Roman" w:eastAsia="宋体" w:hAnsi="Times New Roman" w:cs="Times New Roman" w:hint="eastAsia"/>
                <w:bCs/>
                <w:sz w:val="15"/>
                <w:szCs w:val="15"/>
                <w:lang w:val="en-US" w:eastAsia="zh-CN"/>
              </w:rPr>
              <w:t>37</w:t>
            </w:r>
            <w:r>
              <w:rPr>
                <w:rFonts w:ascii="Times New Roman" w:eastAsia="宋体" w:hAnsi="Times New Roman" w:cs="Times New Roman" w:hint="eastAsia"/>
                <w:bCs/>
                <w:sz w:val="15"/>
                <w:szCs w:val="15"/>
                <w:lang w:val="en-US" w:eastAsia="zh-CN"/>
              </w:rPr>
              <w:t>）</w:t>
            </w:r>
          </w:p>
        </w:tc>
        <w:tc>
          <w:tcPr>
            <w:tcW w:w="889" w:type="dxa"/>
          </w:tcPr>
          <w:p w14:paraId="318A53CD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#1</w:t>
            </w:r>
          </w:p>
        </w:tc>
        <w:tc>
          <w:tcPr>
            <w:tcW w:w="5715" w:type="dxa"/>
            <w:shd w:val="clear" w:color="auto" w:fill="auto"/>
          </w:tcPr>
          <w:p w14:paraId="22BDB9C3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'adjacent segment disease'/exp             </w:t>
            </w:r>
          </w:p>
        </w:tc>
        <w:tc>
          <w:tcPr>
            <w:tcW w:w="1399" w:type="dxa"/>
            <w:vAlign w:val="center"/>
          </w:tcPr>
          <w:p w14:paraId="638C42F5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7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3</w:t>
            </w:r>
          </w:p>
        </w:tc>
      </w:tr>
      <w:tr w:rsidR="002857D3" w14:paraId="7A0E1E81" w14:textId="77777777">
        <w:tc>
          <w:tcPr>
            <w:tcW w:w="1161" w:type="dxa"/>
            <w:vMerge/>
            <w:vAlign w:val="center"/>
          </w:tcPr>
          <w:p w14:paraId="4D623B61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4C8CD539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#2</w:t>
            </w:r>
          </w:p>
        </w:tc>
        <w:tc>
          <w:tcPr>
            <w:tcW w:w="5715" w:type="dxa"/>
          </w:tcPr>
          <w:p w14:paraId="51DCD581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'adjacent segment degeneration':ti,ab,kw OR   'adjacent segment degenerative disease':ti,ab,kw   OR 'adjacent segment disease':ti,ab,kw</w:t>
            </w:r>
          </w:p>
        </w:tc>
        <w:tc>
          <w:tcPr>
            <w:tcW w:w="1399" w:type="dxa"/>
            <w:vAlign w:val="center"/>
          </w:tcPr>
          <w:p w14:paraId="1FF7A1FD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2,758</w:t>
            </w:r>
          </w:p>
        </w:tc>
      </w:tr>
      <w:tr w:rsidR="002857D3" w14:paraId="5B59C6B6" w14:textId="77777777">
        <w:tc>
          <w:tcPr>
            <w:tcW w:w="1161" w:type="dxa"/>
            <w:vMerge/>
            <w:vAlign w:val="center"/>
          </w:tcPr>
          <w:p w14:paraId="0AB53287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64601BAA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#3</w:t>
            </w:r>
          </w:p>
        </w:tc>
        <w:tc>
          <w:tcPr>
            <w:tcW w:w="5715" w:type="dxa"/>
          </w:tcPr>
          <w:p w14:paraId="5612328E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#1 AND #2</w:t>
            </w:r>
          </w:p>
        </w:tc>
        <w:tc>
          <w:tcPr>
            <w:tcW w:w="1399" w:type="dxa"/>
            <w:vAlign w:val="center"/>
          </w:tcPr>
          <w:p w14:paraId="132A5DB6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2,884</w:t>
            </w:r>
          </w:p>
        </w:tc>
      </w:tr>
      <w:tr w:rsidR="002857D3" w14:paraId="43A51BBA" w14:textId="77777777">
        <w:tc>
          <w:tcPr>
            <w:tcW w:w="1161" w:type="dxa"/>
            <w:vMerge/>
            <w:vAlign w:val="center"/>
          </w:tcPr>
          <w:p w14:paraId="1E292BC8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2C814E35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#4</w:t>
            </w:r>
          </w:p>
        </w:tc>
        <w:tc>
          <w:tcPr>
            <w:tcW w:w="5715" w:type="dxa"/>
          </w:tcPr>
          <w:p w14:paraId="77A203B8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'oblique lateral interbody fusion'/exp                      </w:t>
            </w:r>
          </w:p>
        </w:tc>
        <w:tc>
          <w:tcPr>
            <w:tcW w:w="1399" w:type="dxa"/>
            <w:vAlign w:val="center"/>
          </w:tcPr>
          <w:p w14:paraId="1D759A17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346</w:t>
            </w:r>
          </w:p>
        </w:tc>
      </w:tr>
      <w:tr w:rsidR="002857D3" w14:paraId="08325407" w14:textId="77777777">
        <w:tc>
          <w:tcPr>
            <w:tcW w:w="1161" w:type="dxa"/>
            <w:vMerge/>
            <w:vAlign w:val="center"/>
          </w:tcPr>
          <w:p w14:paraId="30259154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2C45066E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#5</w:t>
            </w:r>
          </w:p>
        </w:tc>
        <w:tc>
          <w:tcPr>
            <w:tcW w:w="5715" w:type="dxa"/>
          </w:tcPr>
          <w:p w14:paraId="6F14654D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'oblique lumbar interbody fusion'/exp OR 'oblique lumbar interbody fusion' OR (oblique AND lumbar  AND interbody AND ('fusion'/exp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 fusion)) OR  (olif:ti,ab,kw AND 'oblique lateral interbody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fusion':ti,ab,kw) OR 'olif procedure':ti,ab,kw OR  'oblique lateral interbody fusion':ti,ab,kw</w:t>
            </w:r>
          </w:p>
        </w:tc>
        <w:tc>
          <w:tcPr>
            <w:tcW w:w="1399" w:type="dxa"/>
            <w:vAlign w:val="center"/>
          </w:tcPr>
          <w:p w14:paraId="7C7F35C7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897</w:t>
            </w:r>
          </w:p>
          <w:p w14:paraId="373F0868" w14:textId="77777777" w:rsidR="002857D3" w:rsidRDefault="0028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</w:tr>
      <w:tr w:rsidR="002857D3" w14:paraId="46354BB2" w14:textId="77777777">
        <w:tc>
          <w:tcPr>
            <w:tcW w:w="1161" w:type="dxa"/>
            <w:vMerge/>
            <w:vAlign w:val="center"/>
          </w:tcPr>
          <w:p w14:paraId="0DCE46A5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3D78E0F6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#6</w:t>
            </w:r>
          </w:p>
        </w:tc>
        <w:tc>
          <w:tcPr>
            <w:tcW w:w="5715" w:type="dxa"/>
          </w:tcPr>
          <w:p w14:paraId="615B1FF9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'posterior lumbar interbody fusion'/exp                  </w:t>
            </w:r>
          </w:p>
        </w:tc>
        <w:tc>
          <w:tcPr>
            <w:tcW w:w="1399" w:type="dxa"/>
            <w:vAlign w:val="center"/>
          </w:tcPr>
          <w:p w14:paraId="7FE66ECB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4,291</w:t>
            </w:r>
          </w:p>
        </w:tc>
      </w:tr>
      <w:tr w:rsidR="002857D3" w14:paraId="3397A0EB" w14:textId="77777777">
        <w:tc>
          <w:tcPr>
            <w:tcW w:w="1161" w:type="dxa"/>
            <w:vMerge/>
            <w:vAlign w:val="center"/>
          </w:tcPr>
          <w:p w14:paraId="05A5BF83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42B0C1E2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#7</w:t>
            </w:r>
          </w:p>
        </w:tc>
        <w:tc>
          <w:tcPr>
            <w:tcW w:w="5715" w:type="dxa"/>
          </w:tcPr>
          <w:p w14:paraId="120AC4E9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'posterior lumbar interbody fusion'/exp OR  'posterior lumbar interbody fusion' OR (posterior  AND lumbar AND interbody AND ('fusion'/exp OR  fusion)) OR 'transforaminal lumbar interbody fusion':ti,ab,kw OR 'plif procedure':ti,ab,kw OR  plif:ti,ab,kw</w:t>
            </w:r>
          </w:p>
        </w:tc>
        <w:tc>
          <w:tcPr>
            <w:tcW w:w="1399" w:type="dxa"/>
            <w:vAlign w:val="center"/>
          </w:tcPr>
          <w:p w14:paraId="4230CEE6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8,984</w:t>
            </w:r>
          </w:p>
          <w:p w14:paraId="657E267E" w14:textId="77777777" w:rsidR="002857D3" w:rsidRDefault="0028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</w:tr>
      <w:tr w:rsidR="002857D3" w14:paraId="43A9CF20" w14:textId="77777777">
        <w:tc>
          <w:tcPr>
            <w:tcW w:w="1161" w:type="dxa"/>
            <w:vMerge/>
            <w:vAlign w:val="center"/>
          </w:tcPr>
          <w:p w14:paraId="5B05157C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6D162623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#8</w:t>
            </w:r>
          </w:p>
        </w:tc>
        <w:tc>
          <w:tcPr>
            <w:tcW w:w="5715" w:type="dxa"/>
          </w:tcPr>
          <w:p w14:paraId="05C202BB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#4 OR #5                                                 </w:t>
            </w:r>
          </w:p>
        </w:tc>
        <w:tc>
          <w:tcPr>
            <w:tcW w:w="1399" w:type="dxa"/>
            <w:vAlign w:val="center"/>
          </w:tcPr>
          <w:p w14:paraId="7EEF76B4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897</w:t>
            </w:r>
          </w:p>
        </w:tc>
      </w:tr>
      <w:tr w:rsidR="002857D3" w14:paraId="755D32E7" w14:textId="77777777">
        <w:tc>
          <w:tcPr>
            <w:tcW w:w="1161" w:type="dxa"/>
            <w:vMerge/>
            <w:vAlign w:val="center"/>
          </w:tcPr>
          <w:p w14:paraId="647BE2A7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7FB30D4F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#9</w:t>
            </w:r>
          </w:p>
        </w:tc>
        <w:tc>
          <w:tcPr>
            <w:tcW w:w="5715" w:type="dxa"/>
          </w:tcPr>
          <w:p w14:paraId="13129E71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#6 OR #7                                                </w:t>
            </w:r>
          </w:p>
        </w:tc>
        <w:tc>
          <w:tcPr>
            <w:tcW w:w="1399" w:type="dxa"/>
            <w:vAlign w:val="center"/>
          </w:tcPr>
          <w:p w14:paraId="4C550993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8,984</w:t>
            </w:r>
          </w:p>
        </w:tc>
      </w:tr>
      <w:tr w:rsidR="002857D3" w14:paraId="77A05FCB" w14:textId="77777777">
        <w:tc>
          <w:tcPr>
            <w:tcW w:w="1161" w:type="dxa"/>
            <w:vMerge/>
            <w:vAlign w:val="center"/>
          </w:tcPr>
          <w:p w14:paraId="1376B458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4BF14126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  <w:t>#10</w:t>
            </w:r>
          </w:p>
        </w:tc>
        <w:tc>
          <w:tcPr>
            <w:tcW w:w="5715" w:type="dxa"/>
          </w:tcPr>
          <w:p w14:paraId="015D3CF4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  <w:lang w:val="en-US"/>
              </w:rPr>
              <w:t xml:space="preserve">#3 AND #8 AND #9                                           </w:t>
            </w:r>
          </w:p>
        </w:tc>
        <w:tc>
          <w:tcPr>
            <w:tcW w:w="1399" w:type="dxa"/>
            <w:vAlign w:val="center"/>
          </w:tcPr>
          <w:p w14:paraId="70F81090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  <w:lang w:val="en-US"/>
              </w:rPr>
              <w:t>37</w:t>
            </w:r>
          </w:p>
        </w:tc>
      </w:tr>
      <w:tr w:rsidR="002857D3" w14:paraId="6B455B21" w14:textId="77777777">
        <w:tc>
          <w:tcPr>
            <w:tcW w:w="1161" w:type="dxa"/>
            <w:vMerge w:val="restart"/>
            <w:vAlign w:val="center"/>
          </w:tcPr>
          <w:p w14:paraId="5E87E14F" w14:textId="77777777" w:rsidR="002857D3" w:rsidRDefault="00AA3A3A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5"/>
                <w:szCs w:val="15"/>
                <w:highlight w:val="yellow"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  <w:t>Cochrane</w:t>
            </w:r>
            <w:r>
              <w:rPr>
                <w:rFonts w:ascii="Times New Roman" w:eastAsia="宋体" w:hAnsi="Times New Roman" w:cs="Times New Roman" w:hint="eastAsia"/>
                <w:bCs/>
                <w:sz w:val="15"/>
                <w:szCs w:val="15"/>
                <w:lang w:val="en-US" w:eastAsia="zh-CN"/>
              </w:rPr>
              <w:t>（</w:t>
            </w:r>
            <w:r>
              <w:rPr>
                <w:rFonts w:ascii="Times New Roman" w:eastAsia="宋体" w:hAnsi="Times New Roman" w:cs="Times New Roman" w:hint="eastAsia"/>
                <w:bCs/>
                <w:sz w:val="15"/>
                <w:szCs w:val="15"/>
                <w:lang w:val="en-US" w:eastAsia="zh-CN"/>
              </w:rPr>
              <w:t>26</w:t>
            </w:r>
            <w:r>
              <w:rPr>
                <w:rFonts w:ascii="Times New Roman" w:eastAsia="宋体" w:hAnsi="Times New Roman" w:cs="Times New Roman" w:hint="eastAsia"/>
                <w:bCs/>
                <w:sz w:val="15"/>
                <w:szCs w:val="15"/>
                <w:lang w:val="en-US" w:eastAsia="zh-CN"/>
              </w:rPr>
              <w:t>）</w:t>
            </w:r>
          </w:p>
        </w:tc>
        <w:tc>
          <w:tcPr>
            <w:tcW w:w="889" w:type="dxa"/>
            <w:shd w:val="clear" w:color="auto" w:fill="auto"/>
          </w:tcPr>
          <w:p w14:paraId="1DDB8990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#1</w:t>
            </w:r>
          </w:p>
        </w:tc>
        <w:tc>
          <w:tcPr>
            <w:tcW w:w="5715" w:type="dxa"/>
            <w:shd w:val="clear" w:color="auto" w:fill="auto"/>
          </w:tcPr>
          <w:p w14:paraId="0A392871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shd w:val="clear" w:color="auto" w:fill="F8F8F8"/>
                <w:lang w:val="nl-BE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(adjacent segment disease):ti,ab,kw OR (ASD):ti,ab,kw AND (adjacent segment degeneration):ti,ab,kw (Word variations have been searched)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ab/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4DD12355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nl-BE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shd w:val="clear" w:color="auto" w:fill="F8F8F8"/>
                <w:lang w:val="nl-BE"/>
              </w:rPr>
              <w:t>374</w:t>
            </w:r>
          </w:p>
        </w:tc>
      </w:tr>
      <w:tr w:rsidR="002857D3" w14:paraId="3F7520CE" w14:textId="77777777">
        <w:tc>
          <w:tcPr>
            <w:tcW w:w="1161" w:type="dxa"/>
            <w:vMerge/>
            <w:vAlign w:val="center"/>
          </w:tcPr>
          <w:p w14:paraId="5EC5E65D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692374D8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#2</w:t>
            </w:r>
          </w:p>
        </w:tc>
        <w:tc>
          <w:tcPr>
            <w:tcW w:w="5715" w:type="dxa"/>
          </w:tcPr>
          <w:p w14:paraId="1046745D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shd w:val="clear" w:color="auto" w:fill="FFFFFF"/>
                <w:lang w:val="nl-BE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shd w:val="clear" w:color="auto" w:fill="FFFFFF"/>
                <w:lang w:val="nl-BE"/>
              </w:rPr>
              <w:t>(oblique lumbar interbody fusion):ti,ab,kw</w:t>
            </w:r>
            <w:r>
              <w:rPr>
                <w:rFonts w:ascii="Times New Roman" w:hAnsi="Times New Roman" w:cs="Times New Roman"/>
                <w:sz w:val="15"/>
                <w:szCs w:val="15"/>
                <w:shd w:val="clear" w:color="auto" w:fill="FFFFFF"/>
                <w:lang w:val="nl-BE"/>
              </w:rPr>
              <w:tab/>
            </w:r>
          </w:p>
        </w:tc>
        <w:tc>
          <w:tcPr>
            <w:tcW w:w="1399" w:type="dxa"/>
            <w:vAlign w:val="center"/>
          </w:tcPr>
          <w:p w14:paraId="79EACADB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shd w:val="clear" w:color="auto" w:fill="FFFFFF"/>
                <w:lang w:val="nl-BE"/>
              </w:rPr>
              <w:t>47</w:t>
            </w:r>
          </w:p>
        </w:tc>
      </w:tr>
      <w:tr w:rsidR="002857D3" w14:paraId="609BA3F0" w14:textId="77777777">
        <w:tc>
          <w:tcPr>
            <w:tcW w:w="1161" w:type="dxa"/>
            <w:vMerge/>
            <w:vAlign w:val="center"/>
          </w:tcPr>
          <w:p w14:paraId="0B785262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21FD4163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#3</w:t>
            </w:r>
          </w:p>
        </w:tc>
        <w:tc>
          <w:tcPr>
            <w:tcW w:w="5715" w:type="dxa"/>
          </w:tcPr>
          <w:p w14:paraId="0BC226E5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(OLIF):ti,ab,kw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ab/>
            </w:r>
          </w:p>
        </w:tc>
        <w:tc>
          <w:tcPr>
            <w:tcW w:w="1399" w:type="dxa"/>
            <w:vAlign w:val="center"/>
          </w:tcPr>
          <w:p w14:paraId="325ACDF3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31</w:t>
            </w:r>
          </w:p>
        </w:tc>
      </w:tr>
      <w:tr w:rsidR="002857D3" w14:paraId="4E984137" w14:textId="77777777">
        <w:tc>
          <w:tcPr>
            <w:tcW w:w="1161" w:type="dxa"/>
            <w:vMerge/>
            <w:vAlign w:val="center"/>
          </w:tcPr>
          <w:p w14:paraId="4DED2506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1DB2342B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#4</w:t>
            </w:r>
          </w:p>
        </w:tc>
        <w:tc>
          <w:tcPr>
            <w:tcW w:w="5715" w:type="dxa"/>
          </w:tcPr>
          <w:p w14:paraId="5888190E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(posterior lumbar interbody fusion):ti,ab,kw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ab/>
            </w:r>
          </w:p>
        </w:tc>
        <w:tc>
          <w:tcPr>
            <w:tcW w:w="1399" w:type="dxa"/>
            <w:vAlign w:val="center"/>
          </w:tcPr>
          <w:p w14:paraId="78361A34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519</w:t>
            </w:r>
          </w:p>
        </w:tc>
      </w:tr>
      <w:tr w:rsidR="002857D3" w14:paraId="26B432D1" w14:textId="77777777">
        <w:tc>
          <w:tcPr>
            <w:tcW w:w="1161" w:type="dxa"/>
            <w:vMerge/>
            <w:vAlign w:val="center"/>
          </w:tcPr>
          <w:p w14:paraId="420AAC6D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2E85BC72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#5</w:t>
            </w:r>
          </w:p>
        </w:tc>
        <w:tc>
          <w:tcPr>
            <w:tcW w:w="5715" w:type="dxa"/>
          </w:tcPr>
          <w:p w14:paraId="5B9B3C00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(PLIF):ti,ab,kw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ab/>
            </w:r>
          </w:p>
        </w:tc>
        <w:tc>
          <w:tcPr>
            <w:tcW w:w="1399" w:type="dxa"/>
            <w:vAlign w:val="center"/>
          </w:tcPr>
          <w:p w14:paraId="6D59BCFD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212</w:t>
            </w:r>
          </w:p>
        </w:tc>
      </w:tr>
      <w:tr w:rsidR="002857D3" w14:paraId="43B2B157" w14:textId="77777777">
        <w:tc>
          <w:tcPr>
            <w:tcW w:w="1161" w:type="dxa"/>
            <w:vMerge/>
            <w:vAlign w:val="center"/>
          </w:tcPr>
          <w:p w14:paraId="6A0E4DF8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41D21F53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#6</w:t>
            </w:r>
          </w:p>
        </w:tc>
        <w:tc>
          <w:tcPr>
            <w:tcW w:w="5715" w:type="dxa"/>
          </w:tcPr>
          <w:p w14:paraId="35089323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#2 OR #3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ab/>
            </w:r>
          </w:p>
        </w:tc>
        <w:tc>
          <w:tcPr>
            <w:tcW w:w="1399" w:type="dxa"/>
            <w:vAlign w:val="center"/>
          </w:tcPr>
          <w:p w14:paraId="25017358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53</w:t>
            </w:r>
          </w:p>
        </w:tc>
      </w:tr>
      <w:tr w:rsidR="002857D3" w14:paraId="0F2B83F1" w14:textId="77777777">
        <w:tc>
          <w:tcPr>
            <w:tcW w:w="1161" w:type="dxa"/>
            <w:vMerge/>
            <w:vAlign w:val="center"/>
          </w:tcPr>
          <w:p w14:paraId="394A1D30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6B4E9852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#7</w:t>
            </w:r>
          </w:p>
        </w:tc>
        <w:tc>
          <w:tcPr>
            <w:tcW w:w="5715" w:type="dxa"/>
          </w:tcPr>
          <w:p w14:paraId="4136727B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#4 OR #5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ab/>
            </w:r>
          </w:p>
        </w:tc>
        <w:tc>
          <w:tcPr>
            <w:tcW w:w="1399" w:type="dxa"/>
            <w:vAlign w:val="center"/>
          </w:tcPr>
          <w:p w14:paraId="60D2B9B7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560</w:t>
            </w:r>
          </w:p>
        </w:tc>
      </w:tr>
      <w:tr w:rsidR="002857D3" w14:paraId="00DC4609" w14:textId="77777777">
        <w:tc>
          <w:tcPr>
            <w:tcW w:w="1161" w:type="dxa"/>
            <w:vMerge/>
            <w:vAlign w:val="center"/>
          </w:tcPr>
          <w:p w14:paraId="13715B97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7ED37BAE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  <w:t>#8</w:t>
            </w:r>
          </w:p>
        </w:tc>
        <w:tc>
          <w:tcPr>
            <w:tcW w:w="5715" w:type="dxa"/>
          </w:tcPr>
          <w:p w14:paraId="123CBB86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  <w:lang w:val="en-US"/>
              </w:rPr>
              <w:t>#1 AND #6 AND #7</w:t>
            </w:r>
          </w:p>
        </w:tc>
        <w:tc>
          <w:tcPr>
            <w:tcW w:w="1399" w:type="dxa"/>
            <w:vAlign w:val="center"/>
          </w:tcPr>
          <w:p w14:paraId="3EF2BA27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  <w:t>26</w:t>
            </w:r>
          </w:p>
        </w:tc>
      </w:tr>
      <w:tr w:rsidR="002857D3" w14:paraId="09E6977F" w14:textId="77777777">
        <w:trPr>
          <w:trHeight w:val="366"/>
        </w:trPr>
        <w:tc>
          <w:tcPr>
            <w:tcW w:w="9164" w:type="dxa"/>
            <w:gridSpan w:val="4"/>
            <w:vAlign w:val="center"/>
          </w:tcPr>
          <w:p w14:paraId="1D776EE9" w14:textId="77777777" w:rsidR="002857D3" w:rsidRDefault="002857D3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5"/>
                <w:szCs w:val="15"/>
                <w:lang w:val="en-US" w:eastAsia="zh-CN"/>
              </w:rPr>
            </w:pPr>
          </w:p>
        </w:tc>
      </w:tr>
    </w:tbl>
    <w:p w14:paraId="6E4EA09D" w14:textId="77777777" w:rsidR="002857D3" w:rsidRDefault="002857D3">
      <w:pPr>
        <w:rPr>
          <w:rFonts w:ascii="Times New Roman" w:eastAsia="宋体" w:hAnsi="Times New Roman" w:cs="Times New Roman"/>
          <w:b/>
          <w:bCs/>
          <w:sz w:val="21"/>
          <w:szCs w:val="21"/>
          <w:lang w:val="en-US" w:eastAsia="zh-CN"/>
        </w:rPr>
        <w:sectPr w:rsidR="002857D3" w:rsidSect="00C764C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1" w:name="_GoBack"/>
      <w:bookmarkEnd w:id="1"/>
    </w:p>
    <w:p w14:paraId="59749571" w14:textId="77777777" w:rsidR="002857D3" w:rsidRDefault="00AA3A3A">
      <w:pPr>
        <w:rPr>
          <w:rFonts w:ascii="Times New Roman" w:eastAsia="宋体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b/>
          <w:bCs/>
          <w:sz w:val="21"/>
          <w:szCs w:val="21"/>
          <w:lang w:val="en-US" w:eastAsia="zh-CN"/>
        </w:rPr>
        <w:lastRenderedPageBreak/>
        <w:t>Appendix I (Continued)</w:t>
      </w:r>
    </w:p>
    <w:tbl>
      <w:tblPr>
        <w:tblW w:w="9164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889"/>
        <w:gridCol w:w="5715"/>
        <w:gridCol w:w="1399"/>
      </w:tblGrid>
      <w:tr w:rsidR="002857D3" w14:paraId="5A12EDE1" w14:textId="77777777">
        <w:tc>
          <w:tcPr>
            <w:tcW w:w="1161" w:type="dxa"/>
            <w:vAlign w:val="center"/>
          </w:tcPr>
          <w:p w14:paraId="6895EF95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Database</w:t>
            </w:r>
          </w:p>
        </w:tc>
        <w:tc>
          <w:tcPr>
            <w:tcW w:w="889" w:type="dxa"/>
          </w:tcPr>
          <w:p w14:paraId="5B1517AB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Search</w:t>
            </w:r>
          </w:p>
        </w:tc>
        <w:tc>
          <w:tcPr>
            <w:tcW w:w="5715" w:type="dxa"/>
          </w:tcPr>
          <w:p w14:paraId="5339F494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Query</w:t>
            </w:r>
          </w:p>
        </w:tc>
        <w:tc>
          <w:tcPr>
            <w:tcW w:w="1399" w:type="dxa"/>
            <w:vAlign w:val="center"/>
          </w:tcPr>
          <w:p w14:paraId="7168BC76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Items found</w:t>
            </w:r>
          </w:p>
        </w:tc>
      </w:tr>
      <w:tr w:rsidR="002857D3" w14:paraId="446EBE9E" w14:textId="77777777">
        <w:tc>
          <w:tcPr>
            <w:tcW w:w="1161" w:type="dxa"/>
            <w:vMerge w:val="restart"/>
            <w:vAlign w:val="center"/>
          </w:tcPr>
          <w:p w14:paraId="233CCA0D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bCs/>
                <w:sz w:val="15"/>
                <w:szCs w:val="15"/>
                <w:lang w:val="en-US" w:eastAsia="zh-CN"/>
              </w:rPr>
              <w:t>CNKI (15)</w:t>
            </w:r>
          </w:p>
          <w:p w14:paraId="6E200B1E" w14:textId="77777777" w:rsidR="002857D3" w:rsidRDefault="00AA3A3A">
            <w:pPr>
              <w:spacing w:after="0" w:line="240" w:lineRule="auto"/>
              <w:rPr>
                <w:rFonts w:ascii="Times New Roman" w:eastAsia="宋体" w:hAnsi="Times New Roman" w:cs="Times New Roman"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bCs/>
                <w:sz w:val="15"/>
                <w:szCs w:val="15"/>
                <w:lang w:val="en-US" w:eastAsia="zh-CN"/>
              </w:rPr>
              <w:t xml:space="preserve">8 Chinese articles: ; 7 English articles </w:t>
            </w:r>
          </w:p>
        </w:tc>
        <w:tc>
          <w:tcPr>
            <w:tcW w:w="889" w:type="dxa"/>
          </w:tcPr>
          <w:p w14:paraId="5E577927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#1</w:t>
            </w:r>
          </w:p>
        </w:tc>
        <w:tc>
          <w:tcPr>
            <w:tcW w:w="5715" w:type="dxa"/>
          </w:tcPr>
          <w:p w14:paraId="5CCFC5BA" w14:textId="77777777" w:rsidR="002857D3" w:rsidRDefault="00AA3A3A">
            <w:pPr>
              <w:spacing w:after="0" w:line="360" w:lineRule="auto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SU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adjacent segment disease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adjacent segment disease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adjacent segment degeneration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adjacent segment degenerative disease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</w:p>
        </w:tc>
        <w:tc>
          <w:tcPr>
            <w:tcW w:w="1399" w:type="dxa"/>
            <w:vAlign w:val="center"/>
          </w:tcPr>
          <w:p w14:paraId="29E15460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825 Chinese</w:t>
            </w:r>
          </w:p>
        </w:tc>
      </w:tr>
      <w:tr w:rsidR="002857D3" w14:paraId="159D710C" w14:textId="77777777">
        <w:tc>
          <w:tcPr>
            <w:tcW w:w="1161" w:type="dxa"/>
            <w:vMerge/>
            <w:vAlign w:val="center"/>
          </w:tcPr>
          <w:p w14:paraId="679381C5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20E6629F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#2</w:t>
            </w:r>
          </w:p>
        </w:tc>
        <w:tc>
          <w:tcPr>
            <w:tcW w:w="5715" w:type="dxa"/>
          </w:tcPr>
          <w:p w14:paraId="4162317F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SU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adjacent segment disease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adjacent segment disease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adjacent segment degeneration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adjacent segment degenerative disease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</w:p>
        </w:tc>
        <w:tc>
          <w:tcPr>
            <w:tcW w:w="1399" w:type="dxa"/>
            <w:vAlign w:val="center"/>
          </w:tcPr>
          <w:p w14:paraId="6F11B6C4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1267 English</w:t>
            </w:r>
          </w:p>
        </w:tc>
      </w:tr>
      <w:tr w:rsidR="002857D3" w14:paraId="1049FD77" w14:textId="77777777">
        <w:tc>
          <w:tcPr>
            <w:tcW w:w="1161" w:type="dxa"/>
            <w:vMerge/>
            <w:vAlign w:val="center"/>
          </w:tcPr>
          <w:p w14:paraId="540685F1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  <w:shd w:val="clear" w:color="auto" w:fill="auto"/>
          </w:tcPr>
          <w:p w14:paraId="194D4B51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#3</w:t>
            </w:r>
          </w:p>
        </w:tc>
        <w:tc>
          <w:tcPr>
            <w:tcW w:w="5715" w:type="dxa"/>
          </w:tcPr>
          <w:p w14:paraId="454F10F5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SU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oblique lumbar interbody fusion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oblique lumbar interbody fusion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OLIF (oblique lateral interbody fusion)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OLIF procedure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oblique lateral interbody fusion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</w:p>
        </w:tc>
        <w:tc>
          <w:tcPr>
            <w:tcW w:w="1399" w:type="dxa"/>
            <w:vAlign w:val="center"/>
          </w:tcPr>
          <w:p w14:paraId="054A5921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362 Chinese</w:t>
            </w:r>
          </w:p>
        </w:tc>
      </w:tr>
      <w:tr w:rsidR="002857D3" w14:paraId="0B5DE9B2" w14:textId="77777777">
        <w:tc>
          <w:tcPr>
            <w:tcW w:w="1161" w:type="dxa"/>
            <w:vMerge/>
            <w:vAlign w:val="center"/>
          </w:tcPr>
          <w:p w14:paraId="018D73BC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  <w:shd w:val="clear" w:color="auto" w:fill="auto"/>
          </w:tcPr>
          <w:p w14:paraId="2A9D9AF0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#4</w:t>
            </w:r>
          </w:p>
        </w:tc>
        <w:tc>
          <w:tcPr>
            <w:tcW w:w="5715" w:type="dxa"/>
          </w:tcPr>
          <w:p w14:paraId="7B4DA008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SU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oblique lumbar interbody fusion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oblique lumbar interbody fusion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 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OLIF (oblique lateral interbody fusion)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OLIF procedure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oblique lateral interbody fusion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</w:p>
        </w:tc>
        <w:tc>
          <w:tcPr>
            <w:tcW w:w="1399" w:type="dxa"/>
            <w:vAlign w:val="center"/>
          </w:tcPr>
          <w:p w14:paraId="6C015D1C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599  English</w:t>
            </w:r>
          </w:p>
        </w:tc>
      </w:tr>
      <w:tr w:rsidR="002857D3" w14:paraId="6B935654" w14:textId="77777777">
        <w:tc>
          <w:tcPr>
            <w:tcW w:w="1161" w:type="dxa"/>
            <w:vMerge/>
            <w:vAlign w:val="center"/>
          </w:tcPr>
          <w:p w14:paraId="2CDB0225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  <w:shd w:val="clear" w:color="auto" w:fill="auto"/>
          </w:tcPr>
          <w:p w14:paraId="68EE0CEC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#5</w:t>
            </w:r>
          </w:p>
        </w:tc>
        <w:tc>
          <w:tcPr>
            <w:tcW w:w="5715" w:type="dxa"/>
          </w:tcPr>
          <w:p w14:paraId="0F729E84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SU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posterior lumbar interbody fusion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posterior lumbar interbody fusion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PLIF (posterior lateral interbody fusion)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PLIF procedure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PLIF approch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</w:p>
        </w:tc>
        <w:tc>
          <w:tcPr>
            <w:tcW w:w="1399" w:type="dxa"/>
            <w:vAlign w:val="center"/>
          </w:tcPr>
          <w:p w14:paraId="3B37ED31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2138  Chinese</w:t>
            </w:r>
          </w:p>
        </w:tc>
      </w:tr>
      <w:tr w:rsidR="002857D3" w14:paraId="23E9E4A5" w14:textId="77777777">
        <w:tc>
          <w:tcPr>
            <w:tcW w:w="1161" w:type="dxa"/>
            <w:vMerge/>
            <w:vAlign w:val="center"/>
          </w:tcPr>
          <w:p w14:paraId="0E63B314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  <w:shd w:val="clear" w:color="auto" w:fill="auto"/>
          </w:tcPr>
          <w:p w14:paraId="21D9C2BC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#6</w:t>
            </w:r>
          </w:p>
        </w:tc>
        <w:tc>
          <w:tcPr>
            <w:tcW w:w="5715" w:type="dxa"/>
          </w:tcPr>
          <w:p w14:paraId="3A10702D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SU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posterior lumbar interbody fusion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posterior lumbar interbody fusion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PLIF (posterior lateral interbody fusion)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PLIF procedure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KY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：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PLIF approch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(precise)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</w:p>
        </w:tc>
        <w:tc>
          <w:tcPr>
            <w:tcW w:w="1399" w:type="dxa"/>
            <w:vAlign w:val="center"/>
          </w:tcPr>
          <w:p w14:paraId="23AC4BEF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3542 English</w:t>
            </w:r>
          </w:p>
        </w:tc>
      </w:tr>
      <w:tr w:rsidR="002857D3" w14:paraId="6D4A9CA7" w14:textId="77777777">
        <w:tc>
          <w:tcPr>
            <w:tcW w:w="1161" w:type="dxa"/>
            <w:vMerge/>
            <w:vAlign w:val="center"/>
          </w:tcPr>
          <w:p w14:paraId="5EF55918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0567CEAE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#7</w:t>
            </w:r>
          </w:p>
        </w:tc>
        <w:tc>
          <w:tcPr>
            <w:tcW w:w="5715" w:type="dxa"/>
          </w:tcPr>
          <w:p w14:paraId="7A709E55" w14:textId="77777777" w:rsidR="002857D3" w:rsidRDefault="00AA3A3A">
            <w:pPr>
              <w:spacing w:after="0" w:line="360" w:lineRule="auto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#1 AND #3 AND #5</w:t>
            </w:r>
          </w:p>
        </w:tc>
        <w:tc>
          <w:tcPr>
            <w:tcW w:w="1399" w:type="dxa"/>
            <w:vAlign w:val="center"/>
          </w:tcPr>
          <w:p w14:paraId="4D771AC4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8</w:t>
            </w:r>
          </w:p>
        </w:tc>
      </w:tr>
      <w:tr w:rsidR="002857D3" w14:paraId="2778D48F" w14:textId="77777777">
        <w:tc>
          <w:tcPr>
            <w:tcW w:w="1161" w:type="dxa"/>
            <w:vMerge/>
            <w:vAlign w:val="center"/>
          </w:tcPr>
          <w:p w14:paraId="6268AF7F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65218CA7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#8</w:t>
            </w:r>
          </w:p>
        </w:tc>
        <w:tc>
          <w:tcPr>
            <w:tcW w:w="5715" w:type="dxa"/>
          </w:tcPr>
          <w:p w14:paraId="531DC3A0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#2 AND #4 AND #6</w:t>
            </w:r>
          </w:p>
        </w:tc>
        <w:tc>
          <w:tcPr>
            <w:tcW w:w="1399" w:type="dxa"/>
            <w:vAlign w:val="center"/>
          </w:tcPr>
          <w:p w14:paraId="37E6AC9D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7</w:t>
            </w:r>
          </w:p>
        </w:tc>
      </w:tr>
      <w:tr w:rsidR="002857D3" w14:paraId="465DEDC4" w14:textId="77777777">
        <w:tc>
          <w:tcPr>
            <w:tcW w:w="1161" w:type="dxa"/>
            <w:vMerge/>
            <w:vAlign w:val="center"/>
          </w:tcPr>
          <w:p w14:paraId="617F3D66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69636EE2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  <w:lang w:val="en-US" w:eastAsia="zh-CN"/>
              </w:rPr>
              <w:t xml:space="preserve">#9 </w:t>
            </w:r>
          </w:p>
        </w:tc>
        <w:tc>
          <w:tcPr>
            <w:tcW w:w="5715" w:type="dxa"/>
          </w:tcPr>
          <w:p w14:paraId="26A1C578" w14:textId="77777777" w:rsidR="002857D3" w:rsidRDefault="00AA3A3A">
            <w:pPr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  <w:lang w:val="en-US" w:eastAsia="zh-CN"/>
              </w:rPr>
              <w:t>#7 AND #8</w:t>
            </w:r>
          </w:p>
        </w:tc>
        <w:tc>
          <w:tcPr>
            <w:tcW w:w="1399" w:type="dxa"/>
            <w:vAlign w:val="center"/>
          </w:tcPr>
          <w:p w14:paraId="27215F9E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  <w:lang w:val="en-US" w:eastAsia="zh-CN"/>
              </w:rPr>
              <w:t>15</w:t>
            </w:r>
          </w:p>
        </w:tc>
      </w:tr>
      <w:tr w:rsidR="002857D3" w14:paraId="2E375D83" w14:textId="77777777">
        <w:tc>
          <w:tcPr>
            <w:tcW w:w="1161" w:type="dxa"/>
            <w:vMerge w:val="restart"/>
            <w:vAlign w:val="center"/>
          </w:tcPr>
          <w:p w14:paraId="1C7748FA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 w:hint="eastAsia"/>
                <w:bCs/>
                <w:sz w:val="15"/>
                <w:szCs w:val="15"/>
                <w:lang w:val="en-US"/>
              </w:rPr>
              <w:t>Web of Science</w:t>
            </w:r>
          </w:p>
          <w:p w14:paraId="27377151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5"/>
                <w:szCs w:val="15"/>
                <w:lang w:val="en-US" w:eastAsia="zh-CN"/>
              </w:rPr>
              <w:t>(45)</w:t>
            </w:r>
            <w:r>
              <w:rPr>
                <w:rFonts w:ascii="Times New Roman" w:hAnsi="Times New Roman" w:cs="Times New Roman" w:hint="eastAsia"/>
                <w:bCs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889" w:type="dxa"/>
          </w:tcPr>
          <w:p w14:paraId="150309BE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#1</w:t>
            </w:r>
          </w:p>
        </w:tc>
        <w:tc>
          <w:tcPr>
            <w:tcW w:w="5715" w:type="dxa"/>
          </w:tcPr>
          <w:p w14:paraId="30998548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((((TS=(adjacent segment disease)) OR TS=(adjacent segment degeneration)) OR TS=(single-segment lumbar degenerative diseases)) OR AB=(adjacent segment disease)) OR AB=(adjacent segment degeneration) </w:t>
            </w:r>
          </w:p>
        </w:tc>
        <w:tc>
          <w:tcPr>
            <w:tcW w:w="1399" w:type="dxa"/>
            <w:vAlign w:val="center"/>
          </w:tcPr>
          <w:p w14:paraId="0C9AEB09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9111</w:t>
            </w:r>
          </w:p>
        </w:tc>
      </w:tr>
      <w:tr w:rsidR="002857D3" w14:paraId="58B7509B" w14:textId="77777777">
        <w:tc>
          <w:tcPr>
            <w:tcW w:w="1161" w:type="dxa"/>
            <w:vMerge/>
            <w:vAlign w:val="center"/>
          </w:tcPr>
          <w:p w14:paraId="1D0B28A2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5022919D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#2</w:t>
            </w:r>
          </w:p>
        </w:tc>
        <w:tc>
          <w:tcPr>
            <w:tcW w:w="5715" w:type="dxa"/>
          </w:tcPr>
          <w:p w14:paraId="593907CE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(((TS=(oblique lumbar interbody fusion )) OR AB=(oblique lumbar interbody fusion )) OR TS=(oblique lumbar interbody fusion/anterior to psoas)) OR AB=(oblique lumbar interbody fusion/anterior to psoas) </w:t>
            </w:r>
          </w:p>
        </w:tc>
        <w:tc>
          <w:tcPr>
            <w:tcW w:w="1399" w:type="dxa"/>
            <w:vAlign w:val="center"/>
          </w:tcPr>
          <w:p w14:paraId="7BED4685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915</w:t>
            </w:r>
          </w:p>
        </w:tc>
      </w:tr>
      <w:tr w:rsidR="002857D3" w14:paraId="56F399E1" w14:textId="77777777">
        <w:tc>
          <w:tcPr>
            <w:tcW w:w="1161" w:type="dxa"/>
            <w:vMerge/>
            <w:vAlign w:val="center"/>
          </w:tcPr>
          <w:p w14:paraId="0B9C208E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7F999DAE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#3</w:t>
            </w:r>
          </w:p>
        </w:tc>
        <w:tc>
          <w:tcPr>
            <w:tcW w:w="5715" w:type="dxa"/>
          </w:tcPr>
          <w:p w14:paraId="434321F5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(((TS=(Posterior Lumbar Interbody Fusion)) OR AB=(Posterior Lumbar Interbody Fusion)) OR TS=(PLIF)) OR AB=(PLIF) </w:t>
            </w:r>
          </w:p>
        </w:tc>
        <w:tc>
          <w:tcPr>
            <w:tcW w:w="1399" w:type="dxa"/>
            <w:vAlign w:val="center"/>
          </w:tcPr>
          <w:p w14:paraId="017A96B0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9025</w:t>
            </w:r>
          </w:p>
        </w:tc>
      </w:tr>
      <w:tr w:rsidR="002857D3" w14:paraId="696EE396" w14:textId="77777777">
        <w:tc>
          <w:tcPr>
            <w:tcW w:w="1161" w:type="dxa"/>
            <w:vMerge/>
            <w:vAlign w:val="center"/>
          </w:tcPr>
          <w:p w14:paraId="5A633291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</w:p>
        </w:tc>
        <w:tc>
          <w:tcPr>
            <w:tcW w:w="889" w:type="dxa"/>
          </w:tcPr>
          <w:p w14:paraId="2A97C436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#4</w:t>
            </w:r>
          </w:p>
        </w:tc>
        <w:tc>
          <w:tcPr>
            <w:tcW w:w="5715" w:type="dxa"/>
          </w:tcPr>
          <w:p w14:paraId="1B4F15CC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  <w:lang w:val="en-US"/>
              </w:rPr>
              <w:t xml:space="preserve"> #3 AND #2 AND #1 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  <w:lang w:val="en-US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  <w:lang w:val="en-US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  <w:lang w:val="en-US"/>
              </w:rPr>
              <w:tab/>
            </w:r>
          </w:p>
        </w:tc>
        <w:tc>
          <w:tcPr>
            <w:tcW w:w="1399" w:type="dxa"/>
            <w:vAlign w:val="center"/>
          </w:tcPr>
          <w:p w14:paraId="44040634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  <w:lang w:val="en-US"/>
              </w:rPr>
              <w:t>45</w:t>
            </w:r>
          </w:p>
        </w:tc>
      </w:tr>
      <w:tr w:rsidR="002857D3" w14:paraId="2F416F43" w14:textId="77777777">
        <w:tc>
          <w:tcPr>
            <w:tcW w:w="1161" w:type="dxa"/>
            <w:vAlign w:val="center"/>
          </w:tcPr>
          <w:p w14:paraId="5E1DE481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 w:hint="eastAsia"/>
                <w:bCs/>
                <w:sz w:val="15"/>
                <w:szCs w:val="15"/>
                <w:lang w:val="en-US"/>
              </w:rPr>
              <w:t>Scopus</w:t>
            </w:r>
          </w:p>
          <w:p w14:paraId="3BD42219" w14:textId="77777777" w:rsidR="002857D3" w:rsidRDefault="00AA3A3A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18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bCs/>
                <w:sz w:val="15"/>
                <w:szCs w:val="15"/>
                <w:lang w:val="en-US"/>
              </w:rPr>
              <w:t>(22)</w:t>
            </w:r>
          </w:p>
        </w:tc>
        <w:tc>
          <w:tcPr>
            <w:tcW w:w="889" w:type="dxa"/>
          </w:tcPr>
          <w:p w14:paraId="542CEEE0" w14:textId="77777777" w:rsidR="002857D3" w:rsidRDefault="002857D3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5715" w:type="dxa"/>
          </w:tcPr>
          <w:p w14:paraId="5AD4E063" w14:textId="77777777" w:rsidR="002857D3" w:rsidRDefault="00AA3A3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TITLE-ABS-KEY (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oblique lumbar interbody fusion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OLIF (oblique lateral interbody fusion)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OLIF procedure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oblique lateral interbody fusion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) AND TITLE-ABS-KEY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 "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adjacent segment degeneration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"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  "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adjacent segment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degenerative diseases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"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  "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adjacent segment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disease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AND TITLE-ABS-KEY (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posterior lumbar interbody fusion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PLIF (posterior lateral interbody fusion)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PLIF procedure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PLIF approch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OR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posterior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lateral interbody fusion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"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)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）</w:t>
            </w:r>
          </w:p>
        </w:tc>
        <w:tc>
          <w:tcPr>
            <w:tcW w:w="1399" w:type="dxa"/>
            <w:vAlign w:val="center"/>
          </w:tcPr>
          <w:p w14:paraId="33B12E13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  <w:lang w:val="en-US" w:eastAsia="zh-CN"/>
              </w:rPr>
              <w:t>22</w:t>
            </w:r>
          </w:p>
        </w:tc>
      </w:tr>
      <w:tr w:rsidR="002857D3" w14:paraId="10340C8B" w14:textId="77777777">
        <w:trPr>
          <w:trHeight w:val="366"/>
        </w:trPr>
        <w:tc>
          <w:tcPr>
            <w:tcW w:w="9164" w:type="dxa"/>
            <w:gridSpan w:val="4"/>
            <w:vAlign w:val="center"/>
          </w:tcPr>
          <w:p w14:paraId="7C562771" w14:textId="77777777" w:rsidR="002857D3" w:rsidRDefault="002857D3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Cs/>
                <w:sz w:val="15"/>
                <w:szCs w:val="15"/>
                <w:lang w:val="en-US" w:eastAsia="zh-CN"/>
              </w:rPr>
            </w:pPr>
          </w:p>
        </w:tc>
      </w:tr>
    </w:tbl>
    <w:p w14:paraId="37D1F8F4" w14:textId="77777777" w:rsidR="002857D3" w:rsidRDefault="00AA3A3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  <w:lang w:val="en-US" w:eastAsia="zh-CN"/>
        </w:rPr>
        <w:t>Note: SU = Subject; KY = Keyword; TS=Topic; AB=Abstract</w:t>
      </w: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D4874EC" w14:textId="77777777" w:rsidR="002857D3" w:rsidRDefault="00AA3A3A">
      <w:pPr>
        <w:rPr>
          <w:rFonts w:ascii="Times New Roman" w:eastAsia="宋体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ascii="Times New Roman" w:eastAsia="宋体" w:hAnsi="Times New Roman" w:cs="Times New Roman"/>
          <w:b/>
          <w:bCs/>
          <w:sz w:val="21"/>
          <w:szCs w:val="21"/>
        </w:rPr>
        <w:lastRenderedPageBreak/>
        <w:t xml:space="preserve">Appendix </w:t>
      </w:r>
      <w:r>
        <w:rPr>
          <w:rFonts w:ascii="Times New Roman" w:eastAsia="Times New Roman" w:hAnsi="Times New Roman" w:cs="Times New Roman" w:hint="eastAsia"/>
          <w:b/>
          <w:bCs/>
          <w:sz w:val="21"/>
          <w:szCs w:val="21"/>
          <w:lang w:val="en-US"/>
        </w:rPr>
        <w:t>Ⅱ</w:t>
      </w:r>
      <w:r>
        <w:rPr>
          <w:rFonts w:ascii="Times New Roman" w:eastAsia="宋体" w:hAnsi="Times New Roman" w:cs="Times New Roman" w:hint="eastAsia"/>
          <w:b/>
          <w:bCs/>
          <w:sz w:val="21"/>
          <w:szCs w:val="21"/>
          <w:lang w:val="en-US" w:eastAsia="zh-CN"/>
        </w:rPr>
        <w:t>:</w:t>
      </w:r>
      <w:r>
        <w:rPr>
          <w:rFonts w:ascii="Times New Roman" w:eastAsia="宋体" w:hAnsi="Times New Roman" w:cs="Times New Roman"/>
          <w:b/>
          <w:bCs/>
          <w:sz w:val="21"/>
          <w:szCs w:val="21"/>
        </w:rPr>
        <w:t xml:space="preserve"> Summary of</w:t>
      </w:r>
      <w:r>
        <w:rPr>
          <w:rFonts w:ascii="Times New Roman" w:eastAsia="宋体" w:hAnsi="Times New Roman" w:cs="Times New Roman" w:hint="eastAsia"/>
          <w:b/>
          <w:bCs/>
          <w:sz w:val="21"/>
          <w:szCs w:val="21"/>
          <w:lang w:val="en-US" w:eastAsia="zh-CN"/>
        </w:rPr>
        <w:t xml:space="preserve"> the </w:t>
      </w:r>
      <w:r>
        <w:rPr>
          <w:rFonts w:ascii="Times New Roman" w:eastAsia="宋体" w:hAnsi="Times New Roman" w:cs="Times New Roman"/>
          <w:b/>
          <w:bCs/>
          <w:sz w:val="21"/>
          <w:szCs w:val="21"/>
          <w:lang w:val="en-US" w:eastAsia="zh-CN"/>
        </w:rPr>
        <w:t>r</w:t>
      </w:r>
      <w:r>
        <w:rPr>
          <w:rFonts w:ascii="Times New Roman" w:eastAsia="宋体" w:hAnsi="Times New Roman" w:cs="Times New Roman"/>
          <w:b/>
          <w:bCs/>
          <w:sz w:val="21"/>
          <w:szCs w:val="21"/>
        </w:rPr>
        <w:t>eason</w:t>
      </w:r>
      <w:r>
        <w:rPr>
          <w:rFonts w:ascii="Times New Roman" w:eastAsia="宋体" w:hAnsi="Times New Roman" w:cs="Times New Roman" w:hint="eastAsia"/>
          <w:b/>
          <w:bCs/>
          <w:sz w:val="21"/>
          <w:szCs w:val="21"/>
          <w:lang w:val="en-US" w:eastAsia="zh-CN"/>
        </w:rPr>
        <w:t xml:space="preserve">s for the </w:t>
      </w:r>
      <w:r>
        <w:rPr>
          <w:rFonts w:ascii="Times New Roman" w:eastAsia="宋体" w:hAnsi="Times New Roman" w:cs="Times New Roman"/>
          <w:b/>
          <w:bCs/>
          <w:sz w:val="21"/>
          <w:szCs w:val="21"/>
          <w:lang w:val="en-US" w:eastAsia="zh-CN"/>
        </w:rPr>
        <w:t>e</w:t>
      </w:r>
      <w:r>
        <w:rPr>
          <w:rFonts w:ascii="Times New Roman" w:eastAsia="宋体" w:hAnsi="Times New Roman" w:cs="Times New Roman"/>
          <w:b/>
          <w:bCs/>
          <w:sz w:val="21"/>
          <w:szCs w:val="21"/>
        </w:rPr>
        <w:t xml:space="preserve">xcluded </w:t>
      </w:r>
      <w:r>
        <w:rPr>
          <w:rFonts w:ascii="Times New Roman" w:eastAsia="宋体" w:hAnsi="Times New Roman" w:cs="Times New Roman"/>
          <w:b/>
          <w:bCs/>
          <w:sz w:val="21"/>
          <w:szCs w:val="21"/>
          <w:lang w:val="en-US" w:eastAsia="zh-CN"/>
        </w:rPr>
        <w:t>s</w:t>
      </w:r>
      <w:r>
        <w:rPr>
          <w:rFonts w:ascii="Times New Roman" w:eastAsia="宋体" w:hAnsi="Times New Roman" w:cs="Times New Roman"/>
          <w:b/>
          <w:bCs/>
          <w:sz w:val="21"/>
          <w:szCs w:val="21"/>
        </w:rPr>
        <w:t xml:space="preserve">tudies </w:t>
      </w:r>
    </w:p>
    <w:tbl>
      <w:tblPr>
        <w:tblStyle w:val="ae"/>
        <w:tblW w:w="8369" w:type="dxa"/>
        <w:tblInd w:w="45" w:type="dxa"/>
        <w:tblLayout w:type="fixed"/>
        <w:tblLook w:val="04A0" w:firstRow="1" w:lastRow="0" w:firstColumn="1" w:lastColumn="0" w:noHBand="0" w:noVBand="1"/>
      </w:tblPr>
      <w:tblGrid>
        <w:gridCol w:w="979"/>
        <w:gridCol w:w="4829"/>
        <w:gridCol w:w="2561"/>
      </w:tblGrid>
      <w:tr w:rsidR="002857D3" w14:paraId="0A2E0C55" w14:textId="77777777">
        <w:trPr>
          <w:trHeight w:val="367"/>
        </w:trPr>
        <w:tc>
          <w:tcPr>
            <w:tcW w:w="979" w:type="dxa"/>
            <w:shd w:val="clear" w:color="auto" w:fill="auto"/>
            <w:vAlign w:val="center"/>
          </w:tcPr>
          <w:p w14:paraId="2FBA31C4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  <w:lang w:val="en-US" w:eastAsia="zh-CN"/>
              </w:rPr>
              <w:t>Sequence Number</w:t>
            </w:r>
          </w:p>
        </w:tc>
        <w:tc>
          <w:tcPr>
            <w:tcW w:w="4829" w:type="dxa"/>
            <w:shd w:val="clear" w:color="auto" w:fill="auto"/>
          </w:tcPr>
          <w:p w14:paraId="1513F03E" w14:textId="77777777" w:rsidR="002857D3" w:rsidRDefault="00AA3A3A">
            <w:pPr>
              <w:spacing w:after="0" w:line="240" w:lineRule="auto"/>
              <w:ind w:firstLineChars="100" w:firstLine="1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  <w:lang w:val="en-US" w:eastAsia="zh-CN"/>
              </w:rPr>
              <w:t>Citation (Study identification)</w:t>
            </w:r>
          </w:p>
        </w:tc>
        <w:tc>
          <w:tcPr>
            <w:tcW w:w="2561" w:type="dxa"/>
            <w:shd w:val="clear" w:color="auto" w:fill="auto"/>
          </w:tcPr>
          <w:p w14:paraId="38F42B4D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  <w:lang w:val="en-US" w:eastAsia="zh-CN"/>
              </w:rPr>
              <w:t>Reason for Exclusion</w:t>
            </w:r>
          </w:p>
        </w:tc>
      </w:tr>
      <w:tr w:rsidR="002857D3" w14:paraId="7ED1225F" w14:textId="77777777">
        <w:tc>
          <w:tcPr>
            <w:tcW w:w="979" w:type="dxa"/>
            <w:shd w:val="clear" w:color="auto" w:fill="auto"/>
            <w:vAlign w:val="center"/>
          </w:tcPr>
          <w:p w14:paraId="239BC6D0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4829" w:type="dxa"/>
            <w:shd w:val="clear" w:color="auto" w:fill="auto"/>
          </w:tcPr>
          <w:p w14:paraId="2A26DA4D" w14:textId="77777777" w:rsidR="002857D3" w:rsidRDefault="00AA3A3A">
            <w:pPr>
              <w:spacing w:after="0" w:line="240" w:lineRule="auto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Zhou J, Yuan C, Liu C,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et al.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Assessment of vertebral bone mineral density and stand-alone oblique lumbar interbody fusion for adjacent segment disease and primary lumbar degenerative diseases. J Orthop Surg (Hong Kong). 2022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;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30(1):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10225536221091846.</w:t>
            </w:r>
          </w:p>
        </w:tc>
        <w:tc>
          <w:tcPr>
            <w:tcW w:w="2561" w:type="dxa"/>
            <w:shd w:val="clear" w:color="auto" w:fill="auto"/>
          </w:tcPr>
          <w:p w14:paraId="2F91936A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Unmatched design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(No separate outcomes for OLIF or PLIF) </w:t>
            </w:r>
          </w:p>
        </w:tc>
      </w:tr>
      <w:tr w:rsidR="002857D3" w14:paraId="56067373" w14:textId="77777777">
        <w:tc>
          <w:tcPr>
            <w:tcW w:w="979" w:type="dxa"/>
            <w:shd w:val="clear" w:color="auto" w:fill="auto"/>
            <w:vAlign w:val="center"/>
          </w:tcPr>
          <w:p w14:paraId="382080B0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4829" w:type="dxa"/>
            <w:shd w:val="clear" w:color="auto" w:fill="auto"/>
          </w:tcPr>
          <w:p w14:paraId="51F5A240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Zhang S, Xu H, Yin CH. Application of Oblique Lateral Interbody Fusion Combined with Bridge-Locking Cage in Adjacent Segment Disease After Lumbar Fusion. Orthop Surg. 2022;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14(12):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3268-3276.</w:t>
            </w:r>
          </w:p>
        </w:tc>
        <w:tc>
          <w:tcPr>
            <w:tcW w:w="2561" w:type="dxa"/>
            <w:shd w:val="clear" w:color="auto" w:fill="auto"/>
          </w:tcPr>
          <w:p w14:paraId="575E4192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Unmatched design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(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no appropriate comparison)</w:t>
            </w:r>
          </w:p>
        </w:tc>
      </w:tr>
      <w:tr w:rsidR="002857D3" w14:paraId="74B32C2D" w14:textId="77777777">
        <w:tc>
          <w:tcPr>
            <w:tcW w:w="979" w:type="dxa"/>
            <w:shd w:val="clear" w:color="auto" w:fill="auto"/>
            <w:vAlign w:val="center"/>
          </w:tcPr>
          <w:p w14:paraId="5087F4D1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3</w:t>
            </w:r>
          </w:p>
        </w:tc>
        <w:tc>
          <w:tcPr>
            <w:tcW w:w="4829" w:type="dxa"/>
            <w:shd w:val="clear" w:color="auto" w:fill="auto"/>
          </w:tcPr>
          <w:p w14:paraId="0AC7E14D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Guo Y, Wang X, Li Y,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et al.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Oblique Lateral Interbody Fusion with Anterolateral Screw Fixation Is as Effective as with Posterior Percutaneous Pedicle Screw Fixation in Treating Single-Segment Mild Degenerative Lumbar Diseases. Med Sci Monit. 2022;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28: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e934985. </w:t>
            </w:r>
          </w:p>
        </w:tc>
        <w:tc>
          <w:tcPr>
            <w:tcW w:w="2561" w:type="dxa"/>
            <w:shd w:val="clear" w:color="auto" w:fill="auto"/>
          </w:tcPr>
          <w:p w14:paraId="311B059D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Unmatched design </w:t>
            </w:r>
          </w:p>
        </w:tc>
      </w:tr>
      <w:tr w:rsidR="002857D3" w14:paraId="107E0A50" w14:textId="77777777">
        <w:tc>
          <w:tcPr>
            <w:tcW w:w="979" w:type="dxa"/>
            <w:shd w:val="clear" w:color="auto" w:fill="auto"/>
            <w:vAlign w:val="center"/>
          </w:tcPr>
          <w:p w14:paraId="18B2B9E1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4829" w:type="dxa"/>
            <w:shd w:val="clear" w:color="auto" w:fill="auto"/>
          </w:tcPr>
          <w:p w14:paraId="1B91A636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Kotani Y, Ikeura A, Saito T. Comparative Clinical Analysis of Oblique Lateral Interbody Fusion at L5/S1 versus Minimally Invasive Transforaminal Interbody Fusion (MIS-TLIF) for Degenerative Lumbosacral Disorders. Spine Surg Relat Res. 2022;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7(1):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66-73. </w:t>
            </w:r>
          </w:p>
        </w:tc>
        <w:tc>
          <w:tcPr>
            <w:tcW w:w="2561" w:type="dxa"/>
            <w:shd w:val="clear" w:color="auto" w:fill="auto"/>
          </w:tcPr>
          <w:p w14:paraId="3DA2254F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Unmatched design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(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no appropriate comparison)</w:t>
            </w:r>
          </w:p>
        </w:tc>
      </w:tr>
      <w:tr w:rsidR="002857D3" w14:paraId="364769F9" w14:textId="77777777">
        <w:tc>
          <w:tcPr>
            <w:tcW w:w="979" w:type="dxa"/>
            <w:shd w:val="clear" w:color="auto" w:fill="auto"/>
            <w:vAlign w:val="center"/>
          </w:tcPr>
          <w:p w14:paraId="4E5E64E5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4829" w:type="dxa"/>
            <w:shd w:val="clear" w:color="auto" w:fill="auto"/>
          </w:tcPr>
          <w:p w14:paraId="16518A1F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Kim HJ, Kang KT, Chun HJ,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et al.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Comparative study of 1-year clinical and radiological outcomes using robot-assisted pedicle screw fixation and freehand technique in posterior lumbar interbody fusion: A prospective, randomized controlled trial. Int J Med Robot. 2018;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14(4):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e1917.</w:t>
            </w:r>
          </w:p>
        </w:tc>
        <w:tc>
          <w:tcPr>
            <w:tcW w:w="2561" w:type="dxa"/>
            <w:shd w:val="clear" w:color="auto" w:fill="auto"/>
          </w:tcPr>
          <w:p w14:paraId="512C9470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Unmatched design (No separate outcomes for OLIF and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non-single type of adjacent segment diseases) </w:t>
            </w:r>
          </w:p>
        </w:tc>
      </w:tr>
      <w:tr w:rsidR="002857D3" w14:paraId="1828E6C3" w14:textId="77777777">
        <w:tc>
          <w:tcPr>
            <w:tcW w:w="979" w:type="dxa"/>
            <w:shd w:val="clear" w:color="auto" w:fill="auto"/>
            <w:vAlign w:val="center"/>
          </w:tcPr>
          <w:p w14:paraId="6CB954C3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6</w:t>
            </w:r>
          </w:p>
        </w:tc>
        <w:tc>
          <w:tcPr>
            <w:tcW w:w="4829" w:type="dxa"/>
            <w:shd w:val="clear" w:color="auto" w:fill="auto"/>
          </w:tcPr>
          <w:p w14:paraId="1CF5BED8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Rajan PV, Megerian M, Desai A,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et al.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Transforaminal Versus Lateral Interbody Fusions for Treatment of Adjacent Segment Disease in the Lumbar Spine. Clin Spine Surg. 2025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38(2):71-75.</w:t>
            </w:r>
          </w:p>
        </w:tc>
        <w:tc>
          <w:tcPr>
            <w:tcW w:w="2561" w:type="dxa"/>
            <w:shd w:val="clear" w:color="auto" w:fill="auto"/>
          </w:tcPr>
          <w:p w14:paraId="1AA71DA4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Unmatched design (inappropriate comparison)</w:t>
            </w:r>
          </w:p>
        </w:tc>
      </w:tr>
      <w:tr w:rsidR="002857D3" w14:paraId="767AB501" w14:textId="77777777">
        <w:tc>
          <w:tcPr>
            <w:tcW w:w="979" w:type="dxa"/>
            <w:shd w:val="clear" w:color="auto" w:fill="auto"/>
            <w:vAlign w:val="center"/>
          </w:tcPr>
          <w:p w14:paraId="74297392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7</w:t>
            </w:r>
          </w:p>
        </w:tc>
        <w:tc>
          <w:tcPr>
            <w:tcW w:w="4829" w:type="dxa"/>
            <w:shd w:val="clear" w:color="auto" w:fill="auto"/>
          </w:tcPr>
          <w:p w14:paraId="754392BC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Yasmeh S, Bernatz J, Garrard E, et al.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Clinical and Radiographic Outcomes of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Lateral Interbody Fusion for Adjacent Segment Degeneration. Int J Spine Surg. 2021;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15(1):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74-81. </w:t>
            </w:r>
          </w:p>
        </w:tc>
        <w:tc>
          <w:tcPr>
            <w:tcW w:w="2561" w:type="dxa"/>
            <w:shd w:val="clear" w:color="auto" w:fill="auto"/>
          </w:tcPr>
          <w:p w14:paraId="3C612950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Unmatched design (No separate outcomes for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P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LIF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)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 </w:t>
            </w:r>
          </w:p>
        </w:tc>
      </w:tr>
      <w:tr w:rsidR="002857D3" w14:paraId="4F41151F" w14:textId="77777777">
        <w:tc>
          <w:tcPr>
            <w:tcW w:w="979" w:type="dxa"/>
            <w:shd w:val="clear" w:color="auto" w:fill="auto"/>
            <w:vAlign w:val="center"/>
          </w:tcPr>
          <w:p w14:paraId="5C7EEA7D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4829" w:type="dxa"/>
            <w:shd w:val="clear" w:color="auto" w:fill="auto"/>
          </w:tcPr>
          <w:p w14:paraId="0BF69275" w14:textId="77777777" w:rsidR="002857D3" w:rsidRDefault="00AA3A3A">
            <w:pPr>
              <w:spacing w:after="0" w:line="240" w:lineRule="auto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Dongming Fu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, Hongyou Zhou, Ran Li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, et al.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Status of minimally invasive treatment for adjacent segment disease after lumbar interbody fusion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. Chinese Journal of Orthopaedics. 2022; 42 (19): 1321-1328.</w:t>
            </w:r>
          </w:p>
        </w:tc>
        <w:tc>
          <w:tcPr>
            <w:tcW w:w="2561" w:type="dxa"/>
            <w:shd w:val="clear" w:color="auto" w:fill="auto"/>
          </w:tcPr>
          <w:p w14:paraId="0D5D4C34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Review article</w:t>
            </w:r>
          </w:p>
        </w:tc>
      </w:tr>
      <w:tr w:rsidR="002857D3" w14:paraId="00DBC3C4" w14:textId="77777777">
        <w:tc>
          <w:tcPr>
            <w:tcW w:w="979" w:type="dxa"/>
            <w:shd w:val="clear" w:color="auto" w:fill="auto"/>
            <w:vAlign w:val="center"/>
          </w:tcPr>
          <w:p w14:paraId="0ED422E0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9</w:t>
            </w:r>
          </w:p>
        </w:tc>
        <w:tc>
          <w:tcPr>
            <w:tcW w:w="4829" w:type="dxa"/>
            <w:shd w:val="clear" w:color="auto" w:fill="auto"/>
          </w:tcPr>
          <w:p w14:paraId="7B4AB254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Choi WJ, Kim SK, Alaraj M, et al.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Stand-Alone Posterior Expandable Cage Technique for Adjacent Segment Degeneration with Lumbar Spinal Canal Stenosis: A Retrospective Case Series. Medicina (Kaunas). 2021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;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57(3):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237. </w:t>
            </w:r>
          </w:p>
        </w:tc>
        <w:tc>
          <w:tcPr>
            <w:tcW w:w="2561" w:type="dxa"/>
            <w:shd w:val="clear" w:color="auto" w:fill="auto"/>
          </w:tcPr>
          <w:p w14:paraId="7BA8413D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Case Series</w:t>
            </w:r>
          </w:p>
        </w:tc>
      </w:tr>
      <w:tr w:rsidR="002857D3" w14:paraId="29CA0EC9" w14:textId="77777777">
        <w:tc>
          <w:tcPr>
            <w:tcW w:w="979" w:type="dxa"/>
            <w:shd w:val="clear" w:color="auto" w:fill="auto"/>
            <w:vAlign w:val="center"/>
          </w:tcPr>
          <w:p w14:paraId="09F1DA66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10</w:t>
            </w:r>
          </w:p>
        </w:tc>
        <w:tc>
          <w:tcPr>
            <w:tcW w:w="4829" w:type="dxa"/>
            <w:shd w:val="clear" w:color="auto" w:fill="auto"/>
          </w:tcPr>
          <w:p w14:paraId="1E542445" w14:textId="77777777" w:rsidR="002857D3" w:rsidRDefault="00AA3A3A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Chang CT, Lin YH,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et al.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A Comparative Study between Single-Level Oblique Lumbar Interbody Fusion with Transforaminal Lumbar Interbody Fusion for Lumbar Adjacent Segment Disease. J Clin Med. 2024;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13(19):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5843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.</w:t>
            </w:r>
          </w:p>
        </w:tc>
        <w:tc>
          <w:tcPr>
            <w:tcW w:w="2561" w:type="dxa"/>
            <w:shd w:val="clear" w:color="auto" w:fill="auto"/>
          </w:tcPr>
          <w:p w14:paraId="1D00264D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Unmatched design (Inappropriate comparison)</w:t>
            </w:r>
          </w:p>
        </w:tc>
      </w:tr>
      <w:tr w:rsidR="002857D3" w14:paraId="1FB6EC92" w14:textId="77777777">
        <w:tc>
          <w:tcPr>
            <w:tcW w:w="979" w:type="dxa"/>
            <w:shd w:val="clear" w:color="auto" w:fill="auto"/>
            <w:vAlign w:val="center"/>
          </w:tcPr>
          <w:p w14:paraId="47A5F6B2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11</w:t>
            </w:r>
          </w:p>
        </w:tc>
        <w:tc>
          <w:tcPr>
            <w:tcW w:w="4829" w:type="dxa"/>
            <w:shd w:val="clear" w:color="auto" w:fill="auto"/>
          </w:tcPr>
          <w:p w14:paraId="44F5D94D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Bains RR, Royse KE, Fennessy J,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et al.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Are there differences in the reoperation rates for operative adjacent-segment disease between ALIF+PS, PLIF+PS, TLIF+PS, and LLIF+PS? An analysis of a cohort of 5291 patients. J Neurosurg Spine. 2024;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40(6):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733-740.</w:t>
            </w:r>
          </w:p>
        </w:tc>
        <w:tc>
          <w:tcPr>
            <w:tcW w:w="2561" w:type="dxa"/>
          </w:tcPr>
          <w:p w14:paraId="269E3DD5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Unmatched design ( inconsistent research goals) </w:t>
            </w:r>
          </w:p>
        </w:tc>
      </w:tr>
      <w:tr w:rsidR="002857D3" w14:paraId="2FB2D04D" w14:textId="77777777">
        <w:tc>
          <w:tcPr>
            <w:tcW w:w="979" w:type="dxa"/>
            <w:shd w:val="clear" w:color="auto" w:fill="auto"/>
            <w:vAlign w:val="center"/>
          </w:tcPr>
          <w:p w14:paraId="479E6EDC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12</w:t>
            </w:r>
          </w:p>
        </w:tc>
        <w:tc>
          <w:tcPr>
            <w:tcW w:w="4829" w:type="dxa"/>
            <w:shd w:val="clear" w:color="auto" w:fill="auto"/>
          </w:tcPr>
          <w:p w14:paraId="240FD540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Cai P, Xi Z, Deng C, et al.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Fixation-induced surgical segment's high stiffness and the damage of posterior structures together trigger a higher risk of adjacent segment disease in patients with lumbar interbody fusion operations. J Orthop Surg Res. 2023;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18(1):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371. </w:t>
            </w:r>
          </w:p>
        </w:tc>
        <w:tc>
          <w:tcPr>
            <w:tcW w:w="2561" w:type="dxa"/>
          </w:tcPr>
          <w:p w14:paraId="0E74BE3D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Basic research</w:t>
            </w:r>
          </w:p>
        </w:tc>
      </w:tr>
      <w:tr w:rsidR="002857D3" w14:paraId="3A94F5F6" w14:textId="77777777">
        <w:tc>
          <w:tcPr>
            <w:tcW w:w="979" w:type="dxa"/>
            <w:shd w:val="clear" w:color="auto" w:fill="auto"/>
            <w:vAlign w:val="center"/>
          </w:tcPr>
          <w:p w14:paraId="79EDDEE7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13</w:t>
            </w:r>
          </w:p>
        </w:tc>
        <w:tc>
          <w:tcPr>
            <w:tcW w:w="4829" w:type="dxa"/>
            <w:shd w:val="clear" w:color="auto" w:fill="auto"/>
          </w:tcPr>
          <w:p w14:paraId="358D4851" w14:textId="77777777" w:rsidR="002857D3" w:rsidRDefault="00AA3A3A">
            <w:pPr>
              <w:spacing w:after="0" w:line="240" w:lineRule="auto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Sakamoto T, Abe K, Orita S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, et al.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Three cases of adjacent segment disease post-posterior spinal fusion, treated successfully by oblique lateral interbody fusion: A clinical series. Clin Case Rep. 2018;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>7(1):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  <w:t xml:space="preserve">206-210. </w:t>
            </w:r>
          </w:p>
        </w:tc>
        <w:tc>
          <w:tcPr>
            <w:tcW w:w="2561" w:type="dxa"/>
          </w:tcPr>
          <w:p w14:paraId="081C23C5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case series</w:t>
            </w:r>
          </w:p>
        </w:tc>
      </w:tr>
      <w:tr w:rsidR="002857D3" w14:paraId="7B032AD3" w14:textId="77777777">
        <w:tc>
          <w:tcPr>
            <w:tcW w:w="979" w:type="dxa"/>
            <w:shd w:val="clear" w:color="auto" w:fill="auto"/>
            <w:vAlign w:val="center"/>
          </w:tcPr>
          <w:p w14:paraId="7FACBD73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14</w:t>
            </w:r>
          </w:p>
        </w:tc>
        <w:tc>
          <w:tcPr>
            <w:tcW w:w="4829" w:type="dxa"/>
            <w:shd w:val="clear" w:color="auto" w:fill="auto"/>
          </w:tcPr>
          <w:p w14:paraId="20ECD1E0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Chang SY, Chae IS, Mok S, et al.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Can Indirect Decompression Reduce Adjacent Segment Degeneration and the Associated Reoperation Rate After Lumbar Interbody Fusion? A Systemic Review and Meta-analysis. World Neurosurg. 2021;153:e435-e445.</w:t>
            </w:r>
          </w:p>
        </w:tc>
        <w:tc>
          <w:tcPr>
            <w:tcW w:w="2561" w:type="dxa"/>
          </w:tcPr>
          <w:p w14:paraId="383C43D6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Review article</w:t>
            </w:r>
          </w:p>
        </w:tc>
      </w:tr>
      <w:tr w:rsidR="002857D3" w14:paraId="2C035743" w14:textId="77777777">
        <w:tc>
          <w:tcPr>
            <w:tcW w:w="979" w:type="dxa"/>
            <w:shd w:val="clear" w:color="auto" w:fill="auto"/>
            <w:vAlign w:val="center"/>
          </w:tcPr>
          <w:p w14:paraId="438EE8CC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4829" w:type="dxa"/>
            <w:shd w:val="clear" w:color="auto" w:fill="auto"/>
          </w:tcPr>
          <w:p w14:paraId="5C85B598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Yun YI, Jeon I, Kim SW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,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 et al.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Risk factors for adjacent segment disease requiring reoperation after posterior lumbar interbody fusion with screw fixation: focus on paraspinal muscle, facet joint, and disc degeneration. Acta Neurochir (Wien). 2022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;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164(3):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913-922. </w:t>
            </w:r>
          </w:p>
        </w:tc>
        <w:tc>
          <w:tcPr>
            <w:tcW w:w="2561" w:type="dxa"/>
          </w:tcPr>
          <w:p w14:paraId="1094801B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Unmatched design (inconsistent with study goals)</w:t>
            </w:r>
          </w:p>
        </w:tc>
      </w:tr>
      <w:tr w:rsidR="002857D3" w14:paraId="0C1E8E61" w14:textId="77777777">
        <w:tc>
          <w:tcPr>
            <w:tcW w:w="979" w:type="dxa"/>
            <w:shd w:val="clear" w:color="auto" w:fill="auto"/>
            <w:vAlign w:val="center"/>
          </w:tcPr>
          <w:p w14:paraId="17377BCF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4829" w:type="dxa"/>
            <w:shd w:val="clear" w:color="auto" w:fill="auto"/>
          </w:tcPr>
          <w:p w14:paraId="46957F34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Yang Z, Chang J, Sun L,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et al. 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Comparing Oblique Lumbar Interbody Fusion with Lateral Screw Fixation and Transforaminal Full-Endoscopic Lumbar Discectomy (OLIF-TELD) and Posterior Lumbar Interbody Fusion (PLIF) for the Treatment of Adjacent Segment Disease. Biomed Res Int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.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2020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;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2020: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4610128. </w:t>
            </w:r>
          </w:p>
        </w:tc>
        <w:tc>
          <w:tcPr>
            <w:tcW w:w="2561" w:type="dxa"/>
            <w:shd w:val="clear" w:color="auto" w:fill="auto"/>
          </w:tcPr>
          <w:p w14:paraId="703DC0E9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incomplete data</w:t>
            </w:r>
          </w:p>
        </w:tc>
      </w:tr>
      <w:tr w:rsidR="002857D3" w14:paraId="2847B8D9" w14:textId="77777777">
        <w:tc>
          <w:tcPr>
            <w:tcW w:w="979" w:type="dxa"/>
            <w:shd w:val="clear" w:color="auto" w:fill="auto"/>
            <w:vAlign w:val="center"/>
          </w:tcPr>
          <w:p w14:paraId="0B48C9BA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17</w:t>
            </w:r>
          </w:p>
        </w:tc>
        <w:tc>
          <w:tcPr>
            <w:tcW w:w="4829" w:type="dxa"/>
            <w:shd w:val="clear" w:color="auto" w:fill="auto"/>
          </w:tcPr>
          <w:p w14:paraId="026F97AD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Kai W, Cheng C, Yao Q, et al.  Oblique Lumbar Interbody Fusion Using a Stand-Alone Construct for the Treatment of Adjacent-Segment Lumbar Degenerative Disease. Front Surg. 2022;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9: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850099. </w:t>
            </w:r>
          </w:p>
        </w:tc>
        <w:tc>
          <w:tcPr>
            <w:tcW w:w="2561" w:type="dxa"/>
            <w:shd w:val="clear" w:color="auto" w:fill="auto"/>
          </w:tcPr>
          <w:p w14:paraId="0E1A76AE" w14:textId="77777777" w:rsidR="002857D3" w:rsidRDefault="00AA3A3A">
            <w:pPr>
              <w:spacing w:after="0" w:line="240" w:lineRule="auto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Unmatched design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(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No appropriate comparison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)</w:t>
            </w:r>
          </w:p>
        </w:tc>
      </w:tr>
      <w:tr w:rsidR="002857D3" w14:paraId="2F9B0EE5" w14:textId="77777777">
        <w:tc>
          <w:tcPr>
            <w:tcW w:w="979" w:type="dxa"/>
            <w:shd w:val="clear" w:color="auto" w:fill="auto"/>
            <w:vAlign w:val="center"/>
          </w:tcPr>
          <w:p w14:paraId="628B19D2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18</w:t>
            </w:r>
          </w:p>
        </w:tc>
        <w:tc>
          <w:tcPr>
            <w:tcW w:w="4829" w:type="dxa"/>
            <w:shd w:val="clear" w:color="auto" w:fill="auto"/>
          </w:tcPr>
          <w:p w14:paraId="0D6A87F3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Tung KK, Hsu FW, Ou HC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et al. 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The Morphological Changes in Adjacent Segments Amongst Patients Receiving Anterior and Oblique Lumbar Interbody Fusion: A Retrospective Study. J Clin Med. 2021;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10(23):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5533. </w:t>
            </w:r>
          </w:p>
        </w:tc>
        <w:tc>
          <w:tcPr>
            <w:tcW w:w="2561" w:type="dxa"/>
            <w:shd w:val="clear" w:color="auto" w:fill="auto"/>
          </w:tcPr>
          <w:p w14:paraId="4AEE3604" w14:textId="77777777" w:rsidR="002857D3" w:rsidRDefault="00AA3A3A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Unmatched design</w:t>
            </w:r>
          </w:p>
        </w:tc>
      </w:tr>
      <w:tr w:rsidR="002857D3" w14:paraId="64A7AE1E" w14:textId="77777777">
        <w:tc>
          <w:tcPr>
            <w:tcW w:w="979" w:type="dxa"/>
            <w:shd w:val="clear" w:color="auto" w:fill="auto"/>
            <w:vAlign w:val="center"/>
          </w:tcPr>
          <w:p w14:paraId="6A97400E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19</w:t>
            </w:r>
          </w:p>
        </w:tc>
        <w:tc>
          <w:tcPr>
            <w:tcW w:w="4829" w:type="dxa"/>
            <w:shd w:val="clear" w:color="auto" w:fill="auto"/>
          </w:tcPr>
          <w:p w14:paraId="47814342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Li GQ, Tong T, Wang LF. Comparative analysis of the effects of OLIF and TLIF on adjacent segments after treatment of L4 degenerative lumbar spondylolisthesis. J Orthop Surg Res. 2022;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17(1):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203. 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</w:t>
            </w:r>
          </w:p>
        </w:tc>
        <w:tc>
          <w:tcPr>
            <w:tcW w:w="2561" w:type="dxa"/>
            <w:shd w:val="clear" w:color="auto" w:fill="auto"/>
          </w:tcPr>
          <w:p w14:paraId="44FE2394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Unmatched design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(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inconsistent </w:t>
            </w:r>
            <w:r>
              <w:rPr>
                <w:rFonts w:ascii="Times New Roman" w:hAnsi="Times New Roman" w:cs="Times New Roman"/>
                <w:sz w:val="15"/>
                <w:szCs w:val="15"/>
                <w:shd w:val="clear" w:color="auto" w:fill="FFFFFF"/>
                <w:lang w:val="en-US" w:eastAsia="zh-CN"/>
              </w:rPr>
              <w:t>research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 </w:t>
            </w:r>
            <w:r>
              <w:rPr>
                <w:rFonts w:ascii="Times New Roman" w:hAnsi="Times New Roman" w:cs="Times New Roman"/>
                <w:sz w:val="15"/>
                <w:szCs w:val="15"/>
                <w:shd w:val="clear" w:color="auto" w:fill="FFFFFF"/>
                <w:lang w:val="en-US" w:eastAsia="zh-CN"/>
              </w:rPr>
              <w:t>goals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)</w:t>
            </w:r>
          </w:p>
        </w:tc>
      </w:tr>
      <w:tr w:rsidR="002857D3" w14:paraId="419E3310" w14:textId="77777777">
        <w:tc>
          <w:tcPr>
            <w:tcW w:w="979" w:type="dxa"/>
            <w:shd w:val="clear" w:color="auto" w:fill="auto"/>
            <w:vAlign w:val="center"/>
          </w:tcPr>
          <w:p w14:paraId="0FCFAE6F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20</w:t>
            </w:r>
          </w:p>
        </w:tc>
        <w:tc>
          <w:tcPr>
            <w:tcW w:w="4829" w:type="dxa"/>
            <w:shd w:val="clear" w:color="auto" w:fill="auto"/>
          </w:tcPr>
          <w:p w14:paraId="2D63A3A1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He L, Zhu T, Cai W, et al.  Posterior Ligamentum Complex Preservation Alleviate ASD-Related Biomechanical Deterioration in Lumbar Interbody Fusion Models: A Finite Element Analysis. JOR Spine. 2025; 8(1): e70030</w:t>
            </w:r>
          </w:p>
        </w:tc>
        <w:tc>
          <w:tcPr>
            <w:tcW w:w="2561" w:type="dxa"/>
            <w:shd w:val="clear" w:color="auto" w:fill="auto"/>
          </w:tcPr>
          <w:p w14:paraId="62892004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Basic research</w:t>
            </w:r>
          </w:p>
        </w:tc>
      </w:tr>
    </w:tbl>
    <w:p w14:paraId="6D19BF15" w14:textId="77777777" w:rsidR="002857D3" w:rsidRDefault="002857D3">
      <w:pPr>
        <w:rPr>
          <w:rFonts w:ascii="Times New Roman" w:hAnsi="Times New Roman" w:cs="Times New Roman"/>
          <w:sz w:val="20"/>
          <w:szCs w:val="20"/>
        </w:rPr>
      </w:pPr>
    </w:p>
    <w:p w14:paraId="0FC47368" w14:textId="77777777" w:rsidR="002857D3" w:rsidRDefault="00AA3A3A">
      <w:pPr>
        <w:rPr>
          <w:rFonts w:ascii="Times New Roman" w:eastAsia="宋体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ascii="Times New Roman" w:eastAsia="宋体" w:hAnsi="Times New Roman" w:cs="Times New Roman"/>
          <w:b/>
          <w:bCs/>
          <w:sz w:val="21"/>
          <w:szCs w:val="21"/>
        </w:rPr>
        <w:lastRenderedPageBreak/>
        <w:t xml:space="preserve">Appendix </w:t>
      </w:r>
      <w:r>
        <w:rPr>
          <w:rFonts w:ascii="Times New Roman" w:eastAsia="Times New Roman" w:hAnsi="Times New Roman" w:cs="Times New Roman" w:hint="eastAsia"/>
          <w:b/>
          <w:bCs/>
          <w:sz w:val="21"/>
          <w:szCs w:val="21"/>
          <w:lang w:val="en-US"/>
        </w:rPr>
        <w:t>Ⅱ</w:t>
      </w:r>
      <w:r>
        <w:rPr>
          <w:rFonts w:ascii="Times New Roman" w:eastAsia="宋体" w:hAnsi="Times New Roman" w:cs="Times New Roman" w:hint="eastAsia"/>
          <w:b/>
          <w:bCs/>
          <w:sz w:val="21"/>
          <w:szCs w:val="21"/>
          <w:lang w:val="en-US" w:eastAsia="zh-CN"/>
        </w:rPr>
        <w:t xml:space="preserve"> (Continued)</w:t>
      </w:r>
    </w:p>
    <w:tbl>
      <w:tblPr>
        <w:tblStyle w:val="ae"/>
        <w:tblW w:w="8369" w:type="dxa"/>
        <w:tblInd w:w="45" w:type="dxa"/>
        <w:tblLayout w:type="fixed"/>
        <w:tblLook w:val="04A0" w:firstRow="1" w:lastRow="0" w:firstColumn="1" w:lastColumn="0" w:noHBand="0" w:noVBand="1"/>
      </w:tblPr>
      <w:tblGrid>
        <w:gridCol w:w="979"/>
        <w:gridCol w:w="4829"/>
        <w:gridCol w:w="2561"/>
      </w:tblGrid>
      <w:tr w:rsidR="002857D3" w14:paraId="2B916C44" w14:textId="77777777">
        <w:trPr>
          <w:trHeight w:val="367"/>
        </w:trPr>
        <w:tc>
          <w:tcPr>
            <w:tcW w:w="979" w:type="dxa"/>
            <w:shd w:val="clear" w:color="auto" w:fill="auto"/>
            <w:vAlign w:val="center"/>
          </w:tcPr>
          <w:p w14:paraId="7E8C0A1C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  <w:lang w:val="en-US" w:eastAsia="zh-CN"/>
              </w:rPr>
              <w:t>Sequence Number</w:t>
            </w:r>
          </w:p>
        </w:tc>
        <w:tc>
          <w:tcPr>
            <w:tcW w:w="4829" w:type="dxa"/>
            <w:shd w:val="clear" w:color="auto" w:fill="auto"/>
          </w:tcPr>
          <w:p w14:paraId="5D6CD040" w14:textId="77777777" w:rsidR="002857D3" w:rsidRDefault="00AA3A3A">
            <w:pPr>
              <w:spacing w:after="0" w:line="240" w:lineRule="auto"/>
              <w:ind w:firstLineChars="100" w:firstLine="1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  <w:lang w:val="en-US" w:eastAsia="zh-CN"/>
              </w:rPr>
              <w:t>Citation (Study identification)</w:t>
            </w:r>
          </w:p>
        </w:tc>
        <w:tc>
          <w:tcPr>
            <w:tcW w:w="2561" w:type="dxa"/>
            <w:shd w:val="clear" w:color="auto" w:fill="auto"/>
          </w:tcPr>
          <w:p w14:paraId="327E1FA9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  <w:lang w:val="en-US" w:eastAsia="zh-CN"/>
              </w:rPr>
              <w:t>Reason for Exclusion</w:t>
            </w:r>
          </w:p>
        </w:tc>
      </w:tr>
      <w:tr w:rsidR="002857D3" w14:paraId="1C6C7D34" w14:textId="77777777">
        <w:tc>
          <w:tcPr>
            <w:tcW w:w="979" w:type="dxa"/>
            <w:shd w:val="clear" w:color="auto" w:fill="auto"/>
            <w:vAlign w:val="center"/>
          </w:tcPr>
          <w:p w14:paraId="04F32654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21</w:t>
            </w:r>
          </w:p>
        </w:tc>
        <w:tc>
          <w:tcPr>
            <w:tcW w:w="4829" w:type="dxa"/>
            <w:shd w:val="clear" w:color="auto" w:fill="auto"/>
          </w:tcPr>
          <w:p w14:paraId="7F120BC6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Sears WR, Solterbeck AC, Kos JA. Risk of adjacent segment disease after 'topping-off' multi-level lumbar fusions with posterior dynamic stabilisers: an observational cohort study. Eur Spine J. 2021; 30(1): 181-190.</w:t>
            </w:r>
          </w:p>
        </w:tc>
        <w:tc>
          <w:tcPr>
            <w:tcW w:w="2561" w:type="dxa"/>
            <w:shd w:val="clear" w:color="auto" w:fill="auto"/>
          </w:tcPr>
          <w:p w14:paraId="725AB206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Unmatched design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(No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separated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outcomes for OLIF) </w:t>
            </w:r>
          </w:p>
        </w:tc>
      </w:tr>
      <w:tr w:rsidR="002857D3" w14:paraId="52C28E72" w14:textId="77777777">
        <w:tc>
          <w:tcPr>
            <w:tcW w:w="979" w:type="dxa"/>
            <w:shd w:val="clear" w:color="auto" w:fill="auto"/>
            <w:vAlign w:val="center"/>
          </w:tcPr>
          <w:p w14:paraId="090BF276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22</w:t>
            </w:r>
          </w:p>
        </w:tc>
        <w:tc>
          <w:tcPr>
            <w:tcW w:w="4829" w:type="dxa"/>
            <w:shd w:val="clear" w:color="auto" w:fill="auto"/>
          </w:tcPr>
          <w:p w14:paraId="2A613FAF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Jain D, Verma K, Mulvihill J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, et al.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Comparison of Stand-Alone, Transpsoas Lateral Interbody Fusion at L3-4 and Cranial vs Transforaminal Interbody Fusion at L3-4 and L4-5 for the Treatment of Lumbar Adjacent Segment Disease. Int J Spine Surg. 2018;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12(4):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469-474. </w:t>
            </w:r>
          </w:p>
        </w:tc>
        <w:tc>
          <w:tcPr>
            <w:tcW w:w="2561" w:type="dxa"/>
            <w:shd w:val="clear" w:color="auto" w:fill="auto"/>
          </w:tcPr>
          <w:p w14:paraId="6FD4D37E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Unmatched design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 xml:space="preserve">(no appropriate comparison) </w:t>
            </w:r>
          </w:p>
        </w:tc>
      </w:tr>
      <w:tr w:rsidR="002857D3" w14:paraId="39339DB2" w14:textId="77777777">
        <w:tc>
          <w:tcPr>
            <w:tcW w:w="979" w:type="dxa"/>
            <w:shd w:val="clear" w:color="auto" w:fill="auto"/>
            <w:vAlign w:val="center"/>
          </w:tcPr>
          <w:p w14:paraId="0CDF870E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23</w:t>
            </w:r>
          </w:p>
        </w:tc>
        <w:tc>
          <w:tcPr>
            <w:tcW w:w="4829" w:type="dxa"/>
            <w:shd w:val="clear" w:color="auto" w:fill="auto"/>
          </w:tcPr>
          <w:p w14:paraId="764CDD2E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Yan-Hong Zhou. To analyze the safety and efficacy of oblique lumbar interbodyfusion (OLIF) and posterior lumbar interbody fusion ( PLIF )in the treatment of adjacent segment degeneration ( ASD ) afterlumbar interbody fusion [D]. Hebei Medical University,2023.</w:t>
            </w:r>
          </w:p>
          <w:p w14:paraId="7DCE1748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</w:p>
        </w:tc>
        <w:tc>
          <w:tcPr>
            <w:tcW w:w="2561" w:type="dxa"/>
            <w:shd w:val="clear" w:color="auto" w:fill="auto"/>
          </w:tcPr>
          <w:p w14:paraId="666022CF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</w:t>
            </w:r>
          </w:p>
          <w:p w14:paraId="11245092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master's thesis</w:t>
            </w:r>
          </w:p>
        </w:tc>
      </w:tr>
      <w:tr w:rsidR="002857D3" w14:paraId="585D4A97" w14:textId="77777777">
        <w:tc>
          <w:tcPr>
            <w:tcW w:w="979" w:type="dxa"/>
            <w:shd w:val="clear" w:color="auto" w:fill="auto"/>
            <w:vAlign w:val="center"/>
          </w:tcPr>
          <w:p w14:paraId="0C359966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24</w:t>
            </w:r>
          </w:p>
        </w:tc>
        <w:tc>
          <w:tcPr>
            <w:tcW w:w="4829" w:type="dxa"/>
            <w:shd w:val="clear" w:color="auto" w:fill="auto"/>
          </w:tcPr>
          <w:p w14:paraId="7F4A8876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Baohong Zhao. Comparison of therapeutic effect of oblique lumbar interbody fusion and posterior lumbar interbody fusion on adjacent segment disease [D]. Hebei Medical University,2022.</w:t>
            </w:r>
          </w:p>
          <w:p w14:paraId="69620FB9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2561" w:type="dxa"/>
            <w:shd w:val="clear" w:color="auto" w:fill="auto"/>
          </w:tcPr>
          <w:p w14:paraId="72022BF5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/>
              </w:rPr>
              <w:t>master's thesis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2857D3" w14:paraId="27F49CC6" w14:textId="77777777">
        <w:tc>
          <w:tcPr>
            <w:tcW w:w="979" w:type="dxa"/>
            <w:shd w:val="clear" w:color="auto" w:fill="auto"/>
            <w:vAlign w:val="center"/>
          </w:tcPr>
          <w:p w14:paraId="0E0374FA" w14:textId="77777777" w:rsidR="002857D3" w:rsidRDefault="00AA3A3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4829" w:type="dxa"/>
            <w:shd w:val="clear" w:color="auto" w:fill="auto"/>
          </w:tcPr>
          <w:p w14:paraId="35AB406F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YU Zhong-xiang, ZHAN Hong-sheng,SHI Meng, et al. Clinical efficacy of oblique lumbar interbody fusion and posterior lumbar interbod2 fusion for adjacent segment degeneration after lumbar fusion. J REG ANAT OPER SURG. 2019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;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 28 (9):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701-705.</w:t>
            </w:r>
          </w:p>
        </w:tc>
        <w:tc>
          <w:tcPr>
            <w:tcW w:w="2561" w:type="dxa"/>
            <w:shd w:val="clear" w:color="auto" w:fill="auto"/>
          </w:tcPr>
          <w:p w14:paraId="05D3C336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part of the research</w:t>
            </w:r>
          </w:p>
        </w:tc>
      </w:tr>
      <w:tr w:rsidR="002857D3" w14:paraId="64AE50D5" w14:textId="77777777">
        <w:tc>
          <w:tcPr>
            <w:tcW w:w="979" w:type="dxa"/>
            <w:shd w:val="clear" w:color="auto" w:fill="auto"/>
            <w:vAlign w:val="center"/>
          </w:tcPr>
          <w:p w14:paraId="6E2F2D92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26</w:t>
            </w:r>
          </w:p>
        </w:tc>
        <w:tc>
          <w:tcPr>
            <w:tcW w:w="4829" w:type="dxa"/>
            <w:shd w:val="clear" w:color="auto" w:fill="auto"/>
          </w:tcPr>
          <w:p w14:paraId="22F42B7C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Han J, Han S, Meng S, et al. Application of the oblique lateral interbody fusion technique in salvage surgery: technical note and case series. Front Surg. 2023; 10: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1144699.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</w:t>
            </w:r>
          </w:p>
        </w:tc>
        <w:tc>
          <w:tcPr>
            <w:tcW w:w="2561" w:type="dxa"/>
            <w:shd w:val="clear" w:color="auto" w:fill="auto"/>
          </w:tcPr>
          <w:p w14:paraId="0C34E7D3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case series and inappropriate comparison</w:t>
            </w:r>
          </w:p>
        </w:tc>
      </w:tr>
      <w:tr w:rsidR="002857D3" w14:paraId="0909BFB0" w14:textId="77777777">
        <w:tc>
          <w:tcPr>
            <w:tcW w:w="979" w:type="dxa"/>
            <w:shd w:val="clear" w:color="auto" w:fill="auto"/>
            <w:vAlign w:val="center"/>
          </w:tcPr>
          <w:p w14:paraId="0E5FEAA7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27</w:t>
            </w:r>
          </w:p>
        </w:tc>
        <w:tc>
          <w:tcPr>
            <w:tcW w:w="4829" w:type="dxa"/>
            <w:shd w:val="clear" w:color="auto" w:fill="auto"/>
          </w:tcPr>
          <w:p w14:paraId="10B9B208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Li T, Zhu B, Liu X. Revision Strategy of Symptomatic Lumbar Adjacent Segment Degeneration: Full Endoscopic Decompression versus Extended Posterior Interbody Fusion. World Neurosurg. 2020 t; 142: e215-e222.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ab/>
            </w:r>
          </w:p>
        </w:tc>
        <w:tc>
          <w:tcPr>
            <w:tcW w:w="2561" w:type="dxa"/>
            <w:shd w:val="clear" w:color="auto" w:fill="auto"/>
          </w:tcPr>
          <w:p w14:paraId="3EEF9A93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 Unmatched design (no appropriate comparison)</w:t>
            </w:r>
          </w:p>
        </w:tc>
      </w:tr>
      <w:tr w:rsidR="002857D3" w14:paraId="0A1C2303" w14:textId="77777777">
        <w:tc>
          <w:tcPr>
            <w:tcW w:w="979" w:type="dxa"/>
            <w:shd w:val="clear" w:color="auto" w:fill="auto"/>
            <w:vAlign w:val="center"/>
          </w:tcPr>
          <w:p w14:paraId="560B84F3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28</w:t>
            </w:r>
          </w:p>
        </w:tc>
        <w:tc>
          <w:tcPr>
            <w:tcW w:w="4829" w:type="dxa"/>
            <w:shd w:val="clear" w:color="auto" w:fill="auto"/>
          </w:tcPr>
          <w:p w14:paraId="12F83918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Wang B, Hua W, Ke W, et al. Biomechanical Evaluation of Transforaminal Lumbar Interbody Fusion and Oblique Lumbar Interbody Fusion on the Adjacent Segment: A Finite Element Analysis. World Neurosurg. 2019; 126: e819-e824.                             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        </w:t>
            </w:r>
          </w:p>
        </w:tc>
        <w:tc>
          <w:tcPr>
            <w:tcW w:w="2561" w:type="dxa"/>
            <w:shd w:val="clear" w:color="auto" w:fill="auto"/>
          </w:tcPr>
          <w:p w14:paraId="57B306E3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Unmatched design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</w:p>
        </w:tc>
      </w:tr>
      <w:tr w:rsidR="002857D3" w14:paraId="2CA50AAB" w14:textId="77777777">
        <w:tc>
          <w:tcPr>
            <w:tcW w:w="979" w:type="dxa"/>
            <w:shd w:val="clear" w:color="auto" w:fill="auto"/>
            <w:vAlign w:val="center"/>
          </w:tcPr>
          <w:p w14:paraId="7477D6D2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29</w:t>
            </w:r>
          </w:p>
        </w:tc>
        <w:tc>
          <w:tcPr>
            <w:tcW w:w="4829" w:type="dxa"/>
            <w:shd w:val="clear" w:color="auto" w:fill="auto"/>
          </w:tcPr>
          <w:p w14:paraId="347920FD" w14:textId="77777777" w:rsidR="002857D3" w:rsidRDefault="00AA3A3A">
            <w:pPr>
              <w:numPr>
                <w:ilvl w:val="255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Xu JP, Yi HL, Li M, et al. [Clinical application of Wallis interspinous dynamic stabilization in treating adjacent segment degeneration (ASD) after lumbar spinal fusion]. Zhongguo Gu Shang. 2013 Dec;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26(12):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1005-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100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9. Chinese. </w:t>
            </w:r>
          </w:p>
          <w:p w14:paraId="25F35690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2561" w:type="dxa"/>
            <w:shd w:val="clear" w:color="auto" w:fill="auto"/>
          </w:tcPr>
          <w:p w14:paraId="034CA530" w14:textId="77777777" w:rsidR="002857D3" w:rsidRDefault="00AA3A3A">
            <w:pPr>
              <w:numPr>
                <w:ilvl w:val="255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Unmatched design (inappropriate comparison and No outcomes for OLIF).</w:t>
            </w:r>
          </w:p>
          <w:p w14:paraId="2E69D1DE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</w:p>
        </w:tc>
      </w:tr>
      <w:tr w:rsidR="002857D3" w14:paraId="0C6CE7F1" w14:textId="77777777">
        <w:tc>
          <w:tcPr>
            <w:tcW w:w="979" w:type="dxa"/>
            <w:shd w:val="clear" w:color="auto" w:fill="auto"/>
            <w:vAlign w:val="center"/>
          </w:tcPr>
          <w:p w14:paraId="52970482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4829" w:type="dxa"/>
            <w:shd w:val="clear" w:color="auto" w:fill="auto"/>
          </w:tcPr>
          <w:p w14:paraId="0694C686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Ba Z, Pan F, Liu Z, et al.  Percutaneous endoscopical transforaminal approach versus PLF to treat the single-level adjacent segment disease after PLF/PLIF: 1-2 year follow-up. Int J Surg. 2017; 42: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22-26. </w:t>
            </w:r>
          </w:p>
        </w:tc>
        <w:tc>
          <w:tcPr>
            <w:tcW w:w="2561" w:type="dxa"/>
            <w:shd w:val="clear" w:color="auto" w:fill="auto"/>
          </w:tcPr>
          <w:p w14:paraId="1490A73F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Unmatched design (no appropriate comparison and No outcomes for OLIF)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ab/>
            </w:r>
          </w:p>
        </w:tc>
      </w:tr>
      <w:tr w:rsidR="002857D3" w14:paraId="5CCBF5A7" w14:textId="77777777">
        <w:tc>
          <w:tcPr>
            <w:tcW w:w="979" w:type="dxa"/>
            <w:shd w:val="clear" w:color="auto" w:fill="auto"/>
            <w:vAlign w:val="center"/>
          </w:tcPr>
          <w:p w14:paraId="490ACA0A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31</w:t>
            </w:r>
          </w:p>
        </w:tc>
        <w:tc>
          <w:tcPr>
            <w:tcW w:w="4829" w:type="dxa"/>
            <w:shd w:val="clear" w:color="auto" w:fill="auto"/>
          </w:tcPr>
          <w:p w14:paraId="3DF5B208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Li T, He H, Zhang T, et al. Comprehensive comparison of three techniques for the treatment of adjacent segment degeneration after lumbar fusion. Front Surg. 2023; 10: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1096483.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ab/>
            </w:r>
          </w:p>
        </w:tc>
        <w:tc>
          <w:tcPr>
            <w:tcW w:w="2561" w:type="dxa"/>
            <w:shd w:val="clear" w:color="auto" w:fill="auto"/>
          </w:tcPr>
          <w:p w14:paraId="15BBB2ED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Unmatched design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(No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outcomes for OLIF) </w:t>
            </w:r>
          </w:p>
        </w:tc>
      </w:tr>
      <w:tr w:rsidR="002857D3" w14:paraId="1ECB139A" w14:textId="77777777">
        <w:tc>
          <w:tcPr>
            <w:tcW w:w="979" w:type="dxa"/>
            <w:shd w:val="clear" w:color="auto" w:fill="auto"/>
            <w:vAlign w:val="center"/>
          </w:tcPr>
          <w:p w14:paraId="179BF36B" w14:textId="77777777" w:rsidR="002857D3" w:rsidRDefault="00AA3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4829" w:type="dxa"/>
            <w:shd w:val="clear" w:color="auto" w:fill="auto"/>
          </w:tcPr>
          <w:p w14:paraId="54D60AFD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Miwa T, Sakaura H, Yamashita T, et al. Surgical outcomes of additional posterior lumbar interbody fusion for adjacent segment disease after single-level posterior lumbar interbody fusion. Eur Spine J. 2013; 22(12): 2864-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val="en-US" w:eastAsia="zh-CN"/>
              </w:rPr>
              <w:t>286</w:t>
            </w: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 xml:space="preserve">8. </w:t>
            </w:r>
          </w:p>
        </w:tc>
        <w:tc>
          <w:tcPr>
            <w:tcW w:w="2561" w:type="dxa"/>
            <w:shd w:val="clear" w:color="auto" w:fill="auto"/>
          </w:tcPr>
          <w:p w14:paraId="327071D0" w14:textId="77777777" w:rsidR="002857D3" w:rsidRDefault="00AA3A3A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  <w:t>Unmatched design (no appropriate comparison and No outcomes for OLIF)</w:t>
            </w:r>
          </w:p>
        </w:tc>
      </w:tr>
      <w:tr w:rsidR="002857D3" w14:paraId="04B6D6FB" w14:textId="77777777">
        <w:tc>
          <w:tcPr>
            <w:tcW w:w="979" w:type="dxa"/>
            <w:shd w:val="clear" w:color="auto" w:fill="auto"/>
            <w:vAlign w:val="center"/>
          </w:tcPr>
          <w:p w14:paraId="6FBBC905" w14:textId="77777777" w:rsidR="002857D3" w:rsidRDefault="0028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</w:p>
          <w:p w14:paraId="121BA900" w14:textId="77777777" w:rsidR="002857D3" w:rsidRDefault="0028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</w:p>
          <w:p w14:paraId="4A2F12EE" w14:textId="77777777" w:rsidR="002857D3" w:rsidRDefault="0028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</w:p>
        </w:tc>
        <w:tc>
          <w:tcPr>
            <w:tcW w:w="4829" w:type="dxa"/>
            <w:shd w:val="clear" w:color="auto" w:fill="auto"/>
          </w:tcPr>
          <w:p w14:paraId="0AF61B91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US" w:eastAsia="zh-CN"/>
              </w:rPr>
            </w:pPr>
          </w:p>
        </w:tc>
        <w:tc>
          <w:tcPr>
            <w:tcW w:w="2561" w:type="dxa"/>
            <w:shd w:val="clear" w:color="auto" w:fill="auto"/>
          </w:tcPr>
          <w:p w14:paraId="1E8C3AC2" w14:textId="77777777" w:rsidR="002857D3" w:rsidRDefault="002857D3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nl-BE"/>
              </w:rPr>
            </w:pPr>
          </w:p>
        </w:tc>
      </w:tr>
    </w:tbl>
    <w:p w14:paraId="75621EFE" w14:textId="77777777" w:rsidR="002857D3" w:rsidRDefault="002857D3">
      <w:pPr>
        <w:adjustRightInd w:val="0"/>
        <w:snapToGrid w:val="0"/>
        <w:spacing w:after="0" w:line="360" w:lineRule="auto"/>
        <w:rPr>
          <w:rFonts w:ascii="Times New Roman" w:eastAsia="宋体" w:hAnsi="Times New Roman" w:cs="Times New Roman"/>
          <w:b/>
          <w:bCs/>
          <w:sz w:val="21"/>
          <w:szCs w:val="21"/>
        </w:rPr>
        <w:sectPr w:rsidR="002857D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04BDEDF" w14:textId="77777777" w:rsidR="002857D3" w:rsidRDefault="00AA3A3A">
      <w:pPr>
        <w:adjustRightInd w:val="0"/>
        <w:snapToGrid w:val="0"/>
        <w:spacing w:after="0" w:line="360" w:lineRule="auto"/>
        <w:rPr>
          <w:rFonts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ascii="Times New Roman" w:eastAsia="宋体" w:hAnsi="Times New Roman" w:cs="Times New Roman"/>
          <w:b/>
          <w:bCs/>
          <w:sz w:val="21"/>
          <w:szCs w:val="21"/>
        </w:rPr>
        <w:lastRenderedPageBreak/>
        <w:t xml:space="preserve">Appendix </w:t>
      </w:r>
      <w:r>
        <w:rPr>
          <w:rFonts w:ascii="Times New Roman" w:eastAsia="Times New Roman" w:hAnsi="Times New Roman" w:cs="Times New Roman" w:hint="eastAsia"/>
          <w:b/>
          <w:bCs/>
          <w:sz w:val="21"/>
          <w:szCs w:val="21"/>
          <w:lang w:val="en-US"/>
        </w:rPr>
        <w:t>Ⅲ</w:t>
      </w:r>
      <w:r>
        <w:rPr>
          <w:rFonts w:ascii="Times New Roman" w:eastAsia="宋体" w:hAnsi="Times New Roman" w:cs="Times New Roman" w:hint="eastAsia"/>
          <w:b/>
          <w:bCs/>
          <w:sz w:val="21"/>
          <w:szCs w:val="21"/>
          <w:lang w:val="en-US" w:eastAsia="zh-CN"/>
        </w:rPr>
        <w:t xml:space="preserve">: </w:t>
      </w:r>
      <w:r>
        <w:rPr>
          <w:rFonts w:ascii="Times New Roman" w:hAnsi="Times New Roman" w:cs="Times New Roman" w:hint="eastAsia"/>
          <w:b/>
          <w:bCs/>
          <w:sz w:val="21"/>
          <w:szCs w:val="21"/>
          <w:lang w:val="en-US" w:eastAsia="zh-CN"/>
        </w:rPr>
        <w:t>Detailed assessments of the quality of included studies</w:t>
      </w:r>
    </w:p>
    <w:tbl>
      <w:tblPr>
        <w:tblpPr w:leftFromText="180" w:rightFromText="180" w:vertAnchor="text" w:horzAnchor="page" w:tblpX="1673" w:tblpY="184"/>
        <w:tblOverlap w:val="never"/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42"/>
        <w:gridCol w:w="840"/>
        <w:gridCol w:w="945"/>
        <w:gridCol w:w="709"/>
        <w:gridCol w:w="718"/>
        <w:gridCol w:w="749"/>
        <w:gridCol w:w="828"/>
        <w:gridCol w:w="827"/>
        <w:gridCol w:w="730"/>
        <w:gridCol w:w="728"/>
      </w:tblGrid>
      <w:tr w:rsidR="002857D3" w14:paraId="368B291F" w14:textId="77777777">
        <w:trPr>
          <w:trHeight w:val="516"/>
          <w:tblCellSpacing w:w="0" w:type="dxa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200BC" w14:textId="77777777" w:rsidR="002857D3" w:rsidRDefault="002857D3">
            <w:pPr>
              <w:pStyle w:val="ab"/>
              <w:spacing w:beforeAutospacing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2D91C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Zhang 2023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FAC1D" w14:textId="77777777" w:rsidR="002857D3" w:rsidRDefault="00AA3A3A">
            <w:pPr>
              <w:pStyle w:val="ab"/>
              <w:spacing w:beforeAutospacing="0" w:after="120" w:afterAutospacing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Miscusi 2023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A9D12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Jin 2019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8686B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Zhu 2018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AC982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Yu 2019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144A3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Zhao, 2022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2F4D7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Zhang 2022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7847D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Ma 2022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2ABF2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Qu 2025</w:t>
            </w:r>
          </w:p>
        </w:tc>
      </w:tr>
      <w:tr w:rsidR="002857D3" w14:paraId="603B2841" w14:textId="77777777">
        <w:trPr>
          <w:trHeight w:val="516"/>
          <w:tblCellSpacing w:w="0" w:type="dxa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B56BAC" w14:textId="77777777" w:rsidR="002857D3" w:rsidRDefault="00AA3A3A">
            <w:pPr>
              <w:pStyle w:val="ab"/>
              <w:spacing w:beforeAutospacing="0" w:after="12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</w:rPr>
              <w:t>SELECTION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F05E0E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551E3E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762496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667644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D3FE93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DA0826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775CDE" w14:textId="77777777" w:rsidR="002857D3" w:rsidRDefault="002857D3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3279ED" w14:textId="77777777" w:rsidR="002857D3" w:rsidRDefault="002857D3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7C6BAA" w14:textId="77777777" w:rsidR="002857D3" w:rsidRDefault="002857D3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57D3" w14:paraId="2E9298AF" w14:textId="77777777">
        <w:trPr>
          <w:trHeight w:val="516"/>
          <w:tblCellSpacing w:w="0" w:type="dxa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43B1A" w14:textId="77777777" w:rsidR="002857D3" w:rsidRDefault="00AA3A3A">
            <w:pPr>
              <w:pStyle w:val="ab"/>
              <w:spacing w:beforeAutospacing="0" w:after="12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Is the Case Definition Adequate?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C2717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4849C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013AF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01790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4B3E0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55391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3CE8B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7A7C7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</w:rPr>
              <w:t>✫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C4BBE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</w:tr>
      <w:tr w:rsidR="002857D3" w14:paraId="690AE425" w14:textId="77777777">
        <w:trPr>
          <w:trHeight w:val="516"/>
          <w:tblCellSpacing w:w="0" w:type="dxa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83130" w14:textId="77777777" w:rsidR="002857D3" w:rsidRDefault="00AA3A3A">
            <w:pPr>
              <w:pStyle w:val="ab"/>
              <w:spacing w:beforeAutospacing="0" w:after="12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Representativeness of the Cases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3E071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63F5F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9DDC7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DF2F7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EA5C6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A9809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77BD1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5E627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</w:rPr>
              <w:t>✫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B4F39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</w:tr>
      <w:tr w:rsidR="002857D3" w14:paraId="11D7813D" w14:textId="77777777">
        <w:trPr>
          <w:trHeight w:val="516"/>
          <w:tblCellSpacing w:w="0" w:type="dxa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F403F" w14:textId="77777777" w:rsidR="002857D3" w:rsidRDefault="00AA3A3A">
            <w:pPr>
              <w:pStyle w:val="ab"/>
              <w:spacing w:beforeAutospacing="0" w:after="120" w:afterAutospacing="0" w:line="240" w:lineRule="auto"/>
              <w:rPr>
                <w:rFonts w:ascii="Times New Roman" w:eastAsiaTheme="minorEastAsia" w:hAnsi="Times New Roman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Selection of Controls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0A4CD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F263D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ABCDC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C47CC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B2AF5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EEA3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EEA50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FC5B8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108B2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</w:tr>
      <w:tr w:rsidR="002857D3" w14:paraId="020F3776" w14:textId="77777777">
        <w:trPr>
          <w:trHeight w:val="516"/>
          <w:tblCellSpacing w:w="0" w:type="dxa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5BC35" w14:textId="77777777" w:rsidR="002857D3" w:rsidRDefault="00AA3A3A">
            <w:pPr>
              <w:pStyle w:val="ab"/>
              <w:spacing w:beforeAutospacing="0" w:after="120" w:afterAutospacing="0" w:line="240" w:lineRule="auto"/>
              <w:rPr>
                <w:rFonts w:ascii="Times New Roman" w:eastAsiaTheme="minorEastAsia" w:hAnsi="Times New Roman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Definition of Controls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1F5D4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07ECF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DBF44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F550B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E4975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4FA27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D6C2E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BFB86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D3A37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</w:tr>
      <w:tr w:rsidR="002857D3" w14:paraId="3E807B49" w14:textId="77777777">
        <w:trPr>
          <w:trHeight w:val="516"/>
          <w:tblCellSpacing w:w="0" w:type="dxa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CF576D" w14:textId="77777777" w:rsidR="002857D3" w:rsidRDefault="00AA3A3A">
            <w:pPr>
              <w:pStyle w:val="ab"/>
              <w:spacing w:beforeAutospacing="0" w:after="12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</w:rPr>
              <w:t>COMPARABILITY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59B4DC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7C389B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948698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FC71D3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A78831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207FCB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D346DF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528E5D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2C45D9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2857D3" w14:paraId="3403D7A6" w14:textId="77777777">
        <w:trPr>
          <w:trHeight w:val="516"/>
          <w:tblCellSpacing w:w="0" w:type="dxa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67742" w14:textId="77777777" w:rsidR="002857D3" w:rsidRDefault="00AA3A3A">
            <w:pPr>
              <w:pStyle w:val="ab"/>
              <w:spacing w:beforeAutospacing="0" w:after="12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study controls for the most important factor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A13B7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32D2B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8B4B8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9D87B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28DCC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69DE8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4B31D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80D3E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</w:rPr>
              <w:t>✫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0D5B8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</w:tr>
      <w:tr w:rsidR="002857D3" w14:paraId="0C3B19D8" w14:textId="77777777">
        <w:trPr>
          <w:trHeight w:val="516"/>
          <w:tblCellSpacing w:w="0" w:type="dxa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4D30C" w14:textId="77777777" w:rsidR="002857D3" w:rsidRDefault="00AA3A3A">
            <w:pPr>
              <w:pStyle w:val="ab"/>
              <w:spacing w:beforeAutospacing="0" w:after="12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study controls for any additional factor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141BC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3A2FC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087A6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0A693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322E2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DE489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52A98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FE65C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</w:rPr>
              <w:t>✫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026E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</w:tr>
      <w:tr w:rsidR="002857D3" w14:paraId="3BB7937F" w14:textId="77777777">
        <w:trPr>
          <w:trHeight w:val="516"/>
          <w:tblCellSpacing w:w="0" w:type="dxa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5B2BD0" w14:textId="77777777" w:rsidR="002857D3" w:rsidRDefault="00AA3A3A">
            <w:pPr>
              <w:pStyle w:val="ab"/>
              <w:spacing w:beforeAutospacing="0" w:after="12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</w:rPr>
              <w:t>Exposure/Outcome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ACBB2F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95ADC7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386B81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812741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CBB7F6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5D3FEC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69F543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F2CB7B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74F3BD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2857D3" w14:paraId="445669F9" w14:textId="77777777">
        <w:trPr>
          <w:trHeight w:val="516"/>
          <w:tblCellSpacing w:w="0" w:type="dxa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22FF4" w14:textId="77777777" w:rsidR="002857D3" w:rsidRDefault="00AA3A3A">
            <w:pPr>
              <w:pStyle w:val="ab"/>
              <w:spacing w:beforeAutospacing="0" w:after="12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Ascertainment of Exposure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65BB0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843AF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954C2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57B8F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1D1C6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974F1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81D7C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01961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</w:rPr>
              <w:t>✫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A777A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</w:tr>
      <w:tr w:rsidR="002857D3" w14:paraId="55F9687C" w14:textId="77777777">
        <w:trPr>
          <w:trHeight w:val="516"/>
          <w:tblCellSpacing w:w="0" w:type="dxa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C499A" w14:textId="77777777" w:rsidR="002857D3" w:rsidRDefault="00AA3A3A">
            <w:pPr>
              <w:pStyle w:val="ab"/>
              <w:spacing w:beforeAutospacing="0" w:after="12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Same method of ascertainment for cases and control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0721C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67BDA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A58AD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8AFB4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95179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77AED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3CC7B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88A95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</w:rPr>
              <w:t>✫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978BA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/>
                <w:color w:val="333333"/>
                <w:sz w:val="21"/>
                <w:szCs w:val="21"/>
                <w:shd w:val="clear" w:color="auto" w:fill="FFFFFF"/>
              </w:rPr>
              <w:t>✫</w:t>
            </w:r>
          </w:p>
        </w:tc>
      </w:tr>
      <w:tr w:rsidR="002857D3" w14:paraId="2E8C5175" w14:textId="77777777">
        <w:trPr>
          <w:trHeight w:val="516"/>
          <w:tblCellSpacing w:w="0" w:type="dxa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A530F" w14:textId="77777777" w:rsidR="002857D3" w:rsidRDefault="00AA3A3A">
            <w:pPr>
              <w:pStyle w:val="ab"/>
              <w:spacing w:beforeAutospacing="0" w:after="12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Non-Response Rate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14382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7C2FF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07246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CC5C4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BBDFA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40E7E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_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CB62F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/>
                <w:color w:val="000000"/>
                <w:sz w:val="16"/>
                <w:szCs w:val="16"/>
              </w:rPr>
              <w:t>_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6350A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/>
                <w:color w:val="000000"/>
                <w:sz w:val="16"/>
                <w:szCs w:val="16"/>
              </w:rPr>
              <w:t>_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DA629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/>
                <w:color w:val="000000"/>
                <w:sz w:val="16"/>
                <w:szCs w:val="16"/>
              </w:rPr>
              <w:t>_</w:t>
            </w:r>
          </w:p>
        </w:tc>
      </w:tr>
      <w:tr w:rsidR="002857D3" w14:paraId="7BE6E182" w14:textId="77777777">
        <w:trPr>
          <w:trHeight w:val="516"/>
          <w:tblCellSpacing w:w="0" w:type="dxa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1DB1D2" w14:textId="77777777" w:rsidR="002857D3" w:rsidRDefault="00AA3A3A">
            <w:pPr>
              <w:pStyle w:val="ab"/>
              <w:spacing w:beforeAutospacing="0" w:after="12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Total stars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3BA799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99580C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D3986E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8B8629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A69056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FC0AFB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3E33ED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eastAsia="宋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5ABE6D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eastAsia="宋体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481F55" w14:textId="77777777" w:rsidR="002857D3" w:rsidRDefault="00AA3A3A">
            <w:pPr>
              <w:pStyle w:val="ab"/>
              <w:spacing w:beforeAutospacing="0" w:after="120" w:afterAutospacing="0" w:line="240" w:lineRule="auto"/>
              <w:jc w:val="center"/>
              <w:rPr>
                <w:rFonts w:ascii="Times New Roman" w:eastAsia="宋体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7</w:t>
            </w:r>
          </w:p>
        </w:tc>
      </w:tr>
    </w:tbl>
    <w:p w14:paraId="63662C10" w14:textId="77777777" w:rsidR="002857D3" w:rsidRDefault="00AA3A3A">
      <w:pPr>
        <w:ind w:firstLineChars="100" w:firstLine="180"/>
        <w:rPr>
          <w:rFonts w:ascii="Times New Roman" w:hAnsi="Times New Roman" w:cs="Times New Roman"/>
        </w:rPr>
        <w:sectPr w:rsidR="002857D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eastAsia="宋体" w:hAnsi="Times New Roman" w:cs="Times New Roman"/>
          <w:color w:val="333333"/>
          <w:sz w:val="18"/>
          <w:szCs w:val="18"/>
          <w:shd w:val="clear" w:color="auto" w:fill="FFFFFF"/>
        </w:rPr>
        <w:t>✫</w:t>
      </w:r>
      <w:r>
        <w:rPr>
          <w:rFonts w:ascii="Times New Roman" w:eastAsia="宋体" w:hAnsi="Times New Roman" w:cs="Times New Roman" w:hint="eastAsia"/>
          <w:color w:val="333333"/>
          <w:sz w:val="18"/>
          <w:szCs w:val="18"/>
          <w:shd w:val="clear" w:color="auto" w:fill="FFFFFF"/>
          <w:lang w:val="en-US" w:eastAsia="zh-CN"/>
        </w:rPr>
        <w:t xml:space="preserve">= star; </w:t>
      </w:r>
      <w:r>
        <w:rPr>
          <w:rFonts w:ascii="Times New Roman" w:eastAsia="宋体" w:hAnsi="Times New Roman" w:cs="Times New Roman"/>
          <w:color w:val="333333"/>
          <w:sz w:val="18"/>
          <w:szCs w:val="18"/>
          <w:shd w:val="clear" w:color="auto" w:fill="FFFFFF"/>
          <w:lang w:val="en-US" w:eastAsia="zh-CN"/>
        </w:rPr>
        <w:t>“</w:t>
      </w:r>
      <w:r>
        <w:rPr>
          <w:rFonts w:ascii="Times New Roman" w:eastAsia="宋体" w:hAnsi="Times New Roman" w:cs="Times New Roman" w:hint="eastAsia"/>
          <w:color w:val="333333"/>
          <w:sz w:val="18"/>
          <w:szCs w:val="18"/>
          <w:shd w:val="clear" w:color="auto" w:fill="FFFFFF"/>
          <w:lang w:val="en-US" w:eastAsia="zh-CN"/>
        </w:rPr>
        <w:t>-</w:t>
      </w:r>
      <w:r>
        <w:rPr>
          <w:rFonts w:ascii="Times New Roman" w:eastAsia="宋体" w:hAnsi="Times New Roman" w:cs="Times New Roman"/>
          <w:color w:val="333333"/>
          <w:sz w:val="18"/>
          <w:szCs w:val="18"/>
          <w:shd w:val="clear" w:color="auto" w:fill="FFFFFF"/>
          <w:lang w:val="en-US" w:eastAsia="zh-CN"/>
        </w:rPr>
        <w:t>”</w:t>
      </w:r>
      <w:r>
        <w:rPr>
          <w:rFonts w:ascii="Times New Roman" w:eastAsia="宋体" w:hAnsi="Times New Roman" w:cs="Times New Roman" w:hint="eastAsia"/>
          <w:color w:val="333333"/>
          <w:sz w:val="18"/>
          <w:szCs w:val="18"/>
          <w:shd w:val="clear" w:color="auto" w:fill="FFFFFF"/>
          <w:lang w:val="en-US" w:eastAsia="zh-CN"/>
        </w:rPr>
        <w:t xml:space="preserve"> = No star was give</w:t>
      </w:r>
    </w:p>
    <w:p w14:paraId="61B55B1F" w14:textId="77777777" w:rsidR="002857D3" w:rsidRDefault="002857D3"/>
    <w:sectPr w:rsidR="002857D3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30DEC7" w14:textId="77777777" w:rsidR="00734349" w:rsidRDefault="00734349">
      <w:pPr>
        <w:spacing w:line="240" w:lineRule="auto"/>
      </w:pPr>
      <w:r>
        <w:separator/>
      </w:r>
    </w:p>
  </w:endnote>
  <w:endnote w:type="continuationSeparator" w:id="0">
    <w:p w14:paraId="31D9F772" w14:textId="77777777" w:rsidR="00734349" w:rsidRDefault="007343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055349" w14:textId="77777777" w:rsidR="00872384" w:rsidRDefault="00872384" w:rsidP="00C764C9">
    <w:pPr>
      <w:pStyle w:val="a7"/>
      <w:framePr w:wrap="none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3858DA82" w14:textId="77777777" w:rsidR="00872384" w:rsidRDefault="00872384">
    <w:pPr>
      <w:pStyle w:val="a7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9AD175" w14:textId="77777777" w:rsidR="00872384" w:rsidRDefault="00872384" w:rsidP="00C764C9">
    <w:pPr>
      <w:pStyle w:val="a7"/>
      <w:framePr w:wrap="none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C764C9">
      <w:rPr>
        <w:rStyle w:val="af4"/>
        <w:noProof/>
      </w:rPr>
      <w:t>4</w:t>
    </w:r>
    <w:r>
      <w:rPr>
        <w:rStyle w:val="af4"/>
      </w:rPr>
      <w:fldChar w:fldCharType="end"/>
    </w:r>
  </w:p>
  <w:p w14:paraId="3D62448E" w14:textId="77777777" w:rsidR="00872384" w:rsidRDefault="00872384">
    <w:pPr>
      <w:pStyle w:val="a7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AD9846" w14:textId="77777777" w:rsidR="00734349" w:rsidRDefault="00734349">
      <w:pPr>
        <w:spacing w:after="0"/>
      </w:pPr>
      <w:r>
        <w:separator/>
      </w:r>
    </w:p>
  </w:footnote>
  <w:footnote w:type="continuationSeparator" w:id="0">
    <w:p w14:paraId="19D16FD8" w14:textId="77777777" w:rsidR="00734349" w:rsidRDefault="0073434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2C4"/>
    <w:rsid w:val="00156DE3"/>
    <w:rsid w:val="00190A21"/>
    <w:rsid w:val="00224CCC"/>
    <w:rsid w:val="002857D3"/>
    <w:rsid w:val="002B7E8E"/>
    <w:rsid w:val="0032604C"/>
    <w:rsid w:val="00383CC6"/>
    <w:rsid w:val="005B3DC4"/>
    <w:rsid w:val="00667130"/>
    <w:rsid w:val="006E30AB"/>
    <w:rsid w:val="00734349"/>
    <w:rsid w:val="0074409E"/>
    <w:rsid w:val="00756EC1"/>
    <w:rsid w:val="00872384"/>
    <w:rsid w:val="00895BF8"/>
    <w:rsid w:val="009369D3"/>
    <w:rsid w:val="009542C4"/>
    <w:rsid w:val="00A915F9"/>
    <w:rsid w:val="00AA3A3A"/>
    <w:rsid w:val="00AC2639"/>
    <w:rsid w:val="00B455DA"/>
    <w:rsid w:val="00B61CCB"/>
    <w:rsid w:val="00BB5D57"/>
    <w:rsid w:val="00BC18FC"/>
    <w:rsid w:val="00BF7288"/>
    <w:rsid w:val="00C07B2B"/>
    <w:rsid w:val="00C33EAD"/>
    <w:rsid w:val="00C37869"/>
    <w:rsid w:val="00C764C9"/>
    <w:rsid w:val="00CE1431"/>
    <w:rsid w:val="00D40F2D"/>
    <w:rsid w:val="00DE7B81"/>
    <w:rsid w:val="00EC2224"/>
    <w:rsid w:val="02B943B8"/>
    <w:rsid w:val="036068E4"/>
    <w:rsid w:val="0372643A"/>
    <w:rsid w:val="04781A0B"/>
    <w:rsid w:val="05C30850"/>
    <w:rsid w:val="079C1EB4"/>
    <w:rsid w:val="08871045"/>
    <w:rsid w:val="0AD93991"/>
    <w:rsid w:val="0B3A4C0E"/>
    <w:rsid w:val="0BF85CAB"/>
    <w:rsid w:val="0C236700"/>
    <w:rsid w:val="0C436DA2"/>
    <w:rsid w:val="0C4B46BF"/>
    <w:rsid w:val="0C62191E"/>
    <w:rsid w:val="0DEB0387"/>
    <w:rsid w:val="0EE402F2"/>
    <w:rsid w:val="0F7E4BB9"/>
    <w:rsid w:val="0F882FAD"/>
    <w:rsid w:val="0FEC4EFF"/>
    <w:rsid w:val="107A7A6D"/>
    <w:rsid w:val="119C0B35"/>
    <w:rsid w:val="12AD1419"/>
    <w:rsid w:val="135633E4"/>
    <w:rsid w:val="153E1625"/>
    <w:rsid w:val="16D41797"/>
    <w:rsid w:val="172D30C4"/>
    <w:rsid w:val="174F1CAF"/>
    <w:rsid w:val="181D7C27"/>
    <w:rsid w:val="189879E4"/>
    <w:rsid w:val="1A084D34"/>
    <w:rsid w:val="1A5069CA"/>
    <w:rsid w:val="1D08358C"/>
    <w:rsid w:val="1DA6527F"/>
    <w:rsid w:val="1DF60118"/>
    <w:rsid w:val="1FEB5DD4"/>
    <w:rsid w:val="20215B36"/>
    <w:rsid w:val="21F25329"/>
    <w:rsid w:val="236A6D4F"/>
    <w:rsid w:val="24EE402C"/>
    <w:rsid w:val="24FF0DD1"/>
    <w:rsid w:val="25CC204F"/>
    <w:rsid w:val="262C73EA"/>
    <w:rsid w:val="263C1B7F"/>
    <w:rsid w:val="26D50983"/>
    <w:rsid w:val="27270955"/>
    <w:rsid w:val="2753230E"/>
    <w:rsid w:val="279C0D9A"/>
    <w:rsid w:val="28DF5223"/>
    <w:rsid w:val="2B2C33CC"/>
    <w:rsid w:val="2BCA48EA"/>
    <w:rsid w:val="2CC56F8D"/>
    <w:rsid w:val="2D6329A9"/>
    <w:rsid w:val="2EC564E0"/>
    <w:rsid w:val="2EC62D52"/>
    <w:rsid w:val="326A6587"/>
    <w:rsid w:val="32755658"/>
    <w:rsid w:val="33A03224"/>
    <w:rsid w:val="33DB598F"/>
    <w:rsid w:val="33ED2723"/>
    <w:rsid w:val="345C4884"/>
    <w:rsid w:val="356A2CC0"/>
    <w:rsid w:val="36215D85"/>
    <w:rsid w:val="37261E05"/>
    <w:rsid w:val="374B186C"/>
    <w:rsid w:val="396F110B"/>
    <w:rsid w:val="39761CB6"/>
    <w:rsid w:val="39FB3E2A"/>
    <w:rsid w:val="3ABD5DEE"/>
    <w:rsid w:val="3B815E78"/>
    <w:rsid w:val="3BF44347"/>
    <w:rsid w:val="3BF5D514"/>
    <w:rsid w:val="3D176139"/>
    <w:rsid w:val="3D9646D4"/>
    <w:rsid w:val="3DBD45E6"/>
    <w:rsid w:val="3FB44B8F"/>
    <w:rsid w:val="403861A5"/>
    <w:rsid w:val="40ED4FB0"/>
    <w:rsid w:val="4108757A"/>
    <w:rsid w:val="42DF576A"/>
    <w:rsid w:val="437464C6"/>
    <w:rsid w:val="443849E6"/>
    <w:rsid w:val="44C15625"/>
    <w:rsid w:val="47A143A2"/>
    <w:rsid w:val="49F42EAF"/>
    <w:rsid w:val="4A874006"/>
    <w:rsid w:val="4BBB3DE1"/>
    <w:rsid w:val="4BEE392E"/>
    <w:rsid w:val="4C167D0A"/>
    <w:rsid w:val="4F5416C4"/>
    <w:rsid w:val="5345477B"/>
    <w:rsid w:val="53BC2C8F"/>
    <w:rsid w:val="5448354F"/>
    <w:rsid w:val="54AE00FE"/>
    <w:rsid w:val="560A56A4"/>
    <w:rsid w:val="56AE795E"/>
    <w:rsid w:val="57A31178"/>
    <w:rsid w:val="57BB500C"/>
    <w:rsid w:val="5ACC5AF1"/>
    <w:rsid w:val="5C374D19"/>
    <w:rsid w:val="5CAA54EB"/>
    <w:rsid w:val="5D5F2B6C"/>
    <w:rsid w:val="5E6224CF"/>
    <w:rsid w:val="5F202248"/>
    <w:rsid w:val="60AD570E"/>
    <w:rsid w:val="61317E5B"/>
    <w:rsid w:val="62886432"/>
    <w:rsid w:val="65442AE4"/>
    <w:rsid w:val="66811B16"/>
    <w:rsid w:val="66EC51E2"/>
    <w:rsid w:val="67044784"/>
    <w:rsid w:val="6740552D"/>
    <w:rsid w:val="678618FC"/>
    <w:rsid w:val="6858749F"/>
    <w:rsid w:val="694F7FE7"/>
    <w:rsid w:val="6B5A7DB0"/>
    <w:rsid w:val="6CB322FE"/>
    <w:rsid w:val="6E497F94"/>
    <w:rsid w:val="6EB20ABF"/>
    <w:rsid w:val="72921CB6"/>
    <w:rsid w:val="732E0930"/>
    <w:rsid w:val="73601571"/>
    <w:rsid w:val="73726A6F"/>
    <w:rsid w:val="76A01B45"/>
    <w:rsid w:val="76EB7264"/>
    <w:rsid w:val="77366096"/>
    <w:rsid w:val="77846D70"/>
    <w:rsid w:val="77F82AAC"/>
    <w:rsid w:val="7AEF6BF7"/>
    <w:rsid w:val="7B497821"/>
    <w:rsid w:val="7B803CF3"/>
    <w:rsid w:val="7CB54029"/>
    <w:rsid w:val="7E10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7B0B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2">
    <w:name w:val="heading 2"/>
    <w:basedOn w:val="a"/>
    <w:next w:val="a"/>
    <w:link w:val="20"/>
    <w:qFormat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ab">
    <w:name w:val="Normal (Web)"/>
    <w:basedOn w:val="a"/>
    <w:qFormat/>
    <w:pPr>
      <w:spacing w:beforeAutospacing="1" w:after="0" w:afterAutospacing="1"/>
    </w:pPr>
    <w:rPr>
      <w:rFonts w:cs="Times New Roman"/>
      <w:sz w:val="24"/>
      <w:lang w:val="en-US" w:eastAsia="zh-CN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rPr>
      <w:lang w:val="nl-B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0">
    <w:name w:val="Emphasis"/>
    <w:basedOn w:val="a0"/>
    <w:uiPriority w:val="20"/>
    <w:qFormat/>
    <w:rPr>
      <w:i/>
    </w:rPr>
  </w:style>
  <w:style w:type="character" w:styleId="af1">
    <w:name w:val="Hyperlink"/>
    <w:basedOn w:val="a0"/>
    <w:unhideWhenUsed/>
    <w:qFormat/>
    <w:rPr>
      <w:color w:val="0000FF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20">
    <w:name w:val="标题 2字符"/>
    <w:basedOn w:val="a0"/>
    <w:link w:val="2"/>
    <w:qFormat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customStyle="1" w:styleId="a6">
    <w:name w:val="批注框文本字符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aa">
    <w:name w:val="页眉字符"/>
    <w:basedOn w:val="a0"/>
    <w:link w:val="a9"/>
    <w:uiPriority w:val="99"/>
    <w:qFormat/>
  </w:style>
  <w:style w:type="character" w:customStyle="1" w:styleId="a4">
    <w:name w:val="批注文字字符"/>
    <w:basedOn w:val="a0"/>
    <w:link w:val="a3"/>
    <w:uiPriority w:val="99"/>
    <w:semiHidden/>
    <w:qFormat/>
    <w:rPr>
      <w:sz w:val="20"/>
      <w:szCs w:val="20"/>
    </w:rPr>
  </w:style>
  <w:style w:type="character" w:customStyle="1" w:styleId="ad">
    <w:name w:val="批注主题字符"/>
    <w:basedOn w:val="a4"/>
    <w:link w:val="ac"/>
    <w:uiPriority w:val="99"/>
    <w:semiHidden/>
    <w:qFormat/>
    <w:rPr>
      <w:b/>
      <w:bCs/>
      <w:sz w:val="20"/>
      <w:szCs w:val="20"/>
    </w:rPr>
  </w:style>
  <w:style w:type="character" w:customStyle="1" w:styleId="a8">
    <w:name w:val="页脚字符"/>
    <w:basedOn w:val="a0"/>
    <w:link w:val="a7"/>
    <w:uiPriority w:val="99"/>
    <w:qFormat/>
  </w:style>
  <w:style w:type="character" w:customStyle="1" w:styleId="Onopgelostemelding1">
    <w:name w:val="Onopgeloste melding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6-61">
    <w:name w:val="网格表 6 彩色 - 强调文字颜色 61"/>
    <w:basedOn w:val="a1"/>
    <w:uiPriority w:val="51"/>
    <w:qFormat/>
    <w:rPr>
      <w:color w:val="538135" w:themeColor="accent6" w:themeShade="BF"/>
      <w:lang w:val="nl-BE"/>
    </w:rPr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1">
    <w:name w:val="浅色网格型1"/>
    <w:basedOn w:val="a1"/>
    <w:uiPriority w:val="40"/>
    <w:qFormat/>
    <w:rPr>
      <w:lang w:val="nl-BE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91">
    <w:name w:val="font91"/>
    <w:basedOn w:val="a0"/>
    <w:qFormat/>
    <w:rPr>
      <w:rFonts w:ascii="Calibri" w:hAnsi="Calibri" w:cs="Calibri" w:hint="default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Calibri" w:hAnsi="Calibri" w:cs="Calibri" w:hint="default"/>
      <w:color w:val="000000"/>
      <w:sz w:val="22"/>
      <w:szCs w:val="22"/>
      <w:u w:val="none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n-GB" w:eastAsia="en-US"/>
    </w:rPr>
  </w:style>
  <w:style w:type="character" w:styleId="af4">
    <w:name w:val="page number"/>
    <w:basedOn w:val="a0"/>
    <w:uiPriority w:val="99"/>
    <w:semiHidden/>
    <w:unhideWhenUsed/>
    <w:rsid w:val="00872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GostTitle.XSL" StyleName="GOST - 标题排序"/>
</file>

<file path=customXml/itemProps1.xml><?xml version="1.0" encoding="utf-8"?>
<ds:datastoreItem xmlns:ds="http://schemas.openxmlformats.org/officeDocument/2006/customXml" ds:itemID="{52E56136-05C9-B548-9E13-71D3AABF7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2399</Words>
  <Characters>13679</Characters>
  <Application>Microsoft Macintosh Word</Application>
  <DocSecurity>0</DocSecurity>
  <Lines>113</Lines>
  <Paragraphs>32</Paragraphs>
  <ScaleCrop>false</ScaleCrop>
  <LinksUpToDate>false</LinksUpToDate>
  <CharactersWithSpaces>16046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Tukanova</dc:creator>
  <cp:lastModifiedBy>Microsoft Office User</cp:lastModifiedBy>
  <cp:revision>8</cp:revision>
  <dcterms:created xsi:type="dcterms:W3CDTF">2021-10-01T07:52:00Z</dcterms:created>
  <dcterms:modified xsi:type="dcterms:W3CDTF">2025-05-16T04:17:00Z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74280FA7447347B598DC40DD27A5DF15_13</vt:lpwstr>
  </property>
  <property fmtid="{D5CDD505-2E9C-101B-9397-08002B2CF9AE}" pid="4" name="KSOTemplateDocerSaveRecord">
    <vt:lpwstr>eyJoZGlkIjoiYTEwZjg4MzIxNDkwOWI5MDc2MDFlOTlhYWQ3ZDcwMDAifQ==</vt:lpwstr>
  </property>
</Properties>
</file>