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407DD" w14:textId="79319647" w:rsidR="00BE03AB" w:rsidRDefault="00435A15">
      <w:pPr>
        <w:rPr>
          <w:rFonts w:ascii="Times New Roman" w:eastAsia="等线" w:hAnsi="Times New Roman" w:cs="Times New Roman"/>
          <w:sz w:val="24"/>
          <w:szCs w:val="24"/>
        </w:rPr>
      </w:pPr>
      <w:r w:rsidRPr="00435A15">
        <w:rPr>
          <w:rFonts w:ascii="Times New Roman" w:eastAsia="等线" w:hAnsi="Times New Roman" w:cs="Times New Roman"/>
          <w:b/>
          <w:bCs/>
          <w:sz w:val="24"/>
          <w:szCs w:val="24"/>
        </w:rPr>
        <w:t>Table S</w:t>
      </w:r>
      <w:r w:rsidRPr="00435A15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4: </w:t>
      </w:r>
      <w:r w:rsidRPr="00435A15">
        <w:rPr>
          <w:rFonts w:ascii="Times New Roman" w:eastAsia="等线" w:hAnsi="Times New Roman" w:cs="Times New Roman" w:hint="eastAsia"/>
          <w:sz w:val="24"/>
          <w:szCs w:val="24"/>
        </w:rPr>
        <w:t>Risk stratification table for NVCF after PVA.</w:t>
      </w:r>
    </w:p>
    <w:tbl>
      <w:tblPr>
        <w:tblStyle w:val="21"/>
        <w:tblpPr w:leftFromText="180" w:rightFromText="180" w:vertAnchor="page" w:horzAnchor="margin" w:tblpY="927"/>
        <w:tblW w:w="0" w:type="auto"/>
        <w:tblLook w:val="04A0" w:firstRow="1" w:lastRow="0" w:firstColumn="1" w:lastColumn="0" w:noHBand="0" w:noVBand="1"/>
      </w:tblPr>
      <w:tblGrid>
        <w:gridCol w:w="1638"/>
        <w:gridCol w:w="3216"/>
        <w:gridCol w:w="2538"/>
        <w:gridCol w:w="892"/>
        <w:gridCol w:w="8192"/>
      </w:tblGrid>
      <w:tr w:rsidR="00E4299A" w:rsidRPr="00E4299A" w14:paraId="77F3D243" w14:textId="77777777" w:rsidTr="00E90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6"/>
        </w:trPr>
        <w:tc>
          <w:tcPr>
            <w:tcW w:w="0" w:type="auto"/>
            <w:shd w:val="clear" w:color="auto" w:fill="A5C9EB"/>
            <w:vAlign w:val="center"/>
          </w:tcPr>
          <w:p w14:paraId="7BDCE953" w14:textId="77777777" w:rsidR="00E4299A" w:rsidRPr="00435A15" w:rsidRDefault="00E4299A" w:rsidP="00E90DB3">
            <w:pPr>
              <w:spacing w:line="360" w:lineRule="auto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Risk Stratum</w:t>
            </w:r>
          </w:p>
        </w:tc>
        <w:tc>
          <w:tcPr>
            <w:tcW w:w="0" w:type="auto"/>
            <w:shd w:val="clear" w:color="auto" w:fill="A5C9EB"/>
            <w:vAlign w:val="center"/>
          </w:tcPr>
          <w:p w14:paraId="64F020D1" w14:textId="77777777" w:rsidR="00E4299A" w:rsidRPr="00435A15" w:rsidRDefault="00E4299A" w:rsidP="00E90DB3">
            <w:pPr>
              <w:spacing w:line="360" w:lineRule="auto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Risk Factor</w:t>
            </w:r>
          </w:p>
        </w:tc>
        <w:tc>
          <w:tcPr>
            <w:tcW w:w="0" w:type="auto"/>
            <w:shd w:val="clear" w:color="auto" w:fill="A5C9EB"/>
            <w:vAlign w:val="center"/>
          </w:tcPr>
          <w:p w14:paraId="6B27E1F1" w14:textId="77777777" w:rsidR="00E4299A" w:rsidRPr="00435A15" w:rsidRDefault="00E4299A" w:rsidP="00E90DB3">
            <w:pPr>
              <w:spacing w:line="360" w:lineRule="auto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Transformed OR (95% CI)</w:t>
            </w:r>
          </w:p>
        </w:tc>
        <w:tc>
          <w:tcPr>
            <w:tcW w:w="0" w:type="auto"/>
            <w:shd w:val="clear" w:color="auto" w:fill="A5C9EB"/>
            <w:vAlign w:val="center"/>
          </w:tcPr>
          <w:p w14:paraId="7413C997" w14:textId="2A4FD3CA" w:rsidR="00E4299A" w:rsidRPr="00435A15" w:rsidRDefault="00E4299A" w:rsidP="00E90DB3">
            <w:pPr>
              <w:spacing w:line="360" w:lineRule="auto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435A15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0" w:type="auto"/>
            <w:shd w:val="clear" w:color="auto" w:fill="A5C9EB"/>
            <w:vAlign w:val="center"/>
          </w:tcPr>
          <w:p w14:paraId="3629AD8D" w14:textId="77777777" w:rsidR="00E4299A" w:rsidRPr="00435A15" w:rsidRDefault="00E4299A" w:rsidP="00E90DB3">
            <w:pPr>
              <w:spacing w:line="360" w:lineRule="auto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Clinical Interpretation &amp; Notes</w:t>
            </w:r>
          </w:p>
        </w:tc>
      </w:tr>
      <w:tr w:rsidR="00E4299A" w:rsidRPr="00E4299A" w14:paraId="0EB5D261" w14:textId="77777777" w:rsidTr="00E90DB3">
        <w:trPr>
          <w:trHeight w:val="42"/>
        </w:trPr>
        <w:tc>
          <w:tcPr>
            <w:tcW w:w="0" w:type="auto"/>
            <w:vMerge w:val="restart"/>
            <w:shd w:val="clear" w:color="auto" w:fill="DAE9F7"/>
            <w:vAlign w:val="center"/>
          </w:tcPr>
          <w:p w14:paraId="5FD63E96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​Very High Risk​​</w:t>
            </w:r>
          </w:p>
          <w:p w14:paraId="392BF036" w14:textId="77777777" w:rsidR="00E4299A" w:rsidRPr="00435A15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(OR ≥ 3.0)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65AB1AC9" w14:textId="77777777" w:rsidR="00E4299A" w:rsidRPr="00435A15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Fracture History​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702F82AF" w14:textId="77777777" w:rsidR="00E4299A" w:rsidRPr="00435A15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7.72 (3.09 - 19.30)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69B56277" w14:textId="77777777" w:rsidR="00E4299A" w:rsidRPr="00435A15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6E8F68D6" w14:textId="77777777" w:rsidR="00E4299A" w:rsidRPr="00435A15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Patients with a history of prior fractures are at an extremely high risk of subsequent fractures.</w:t>
            </w:r>
          </w:p>
        </w:tc>
      </w:tr>
      <w:tr w:rsidR="00E4299A" w:rsidRPr="00E4299A" w14:paraId="65DFB163" w14:textId="77777777" w:rsidTr="00E90DB3">
        <w:trPr>
          <w:trHeight w:val="58"/>
        </w:trPr>
        <w:tc>
          <w:tcPr>
            <w:tcW w:w="0" w:type="auto"/>
            <w:vMerge/>
            <w:shd w:val="clear" w:color="auto" w:fill="DAE9F7"/>
            <w:vAlign w:val="center"/>
          </w:tcPr>
          <w:p w14:paraId="705497CC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DAE9F7"/>
            <w:vAlign w:val="center"/>
          </w:tcPr>
          <w:p w14:paraId="78504EAA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Use of Steroids​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3BE6BCC7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3.94 (2.16 - 7.21)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1DE50339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75B96EE1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Long-term or high-dose glucocorticoid use is a very strong risk factor.</w:t>
            </w:r>
          </w:p>
        </w:tc>
      </w:tr>
      <w:tr w:rsidR="00E4299A" w:rsidRPr="00E4299A" w14:paraId="2C549ECB" w14:textId="77777777" w:rsidTr="00E90DB3">
        <w:trPr>
          <w:trHeight w:val="331"/>
        </w:trPr>
        <w:tc>
          <w:tcPr>
            <w:tcW w:w="0" w:type="auto"/>
            <w:vMerge/>
            <w:shd w:val="clear" w:color="auto" w:fill="DAE9F7"/>
            <w:vAlign w:val="center"/>
          </w:tcPr>
          <w:p w14:paraId="51A50259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DAE9F7"/>
            <w:vAlign w:val="center"/>
          </w:tcPr>
          <w:p w14:paraId="4257F2F0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TL Junction Fracture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430FBC86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3.50 (2.06 - 5.93)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4DC04AA1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64FBD62E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Initial fracture located at the thoracolumbar junction (T11-L2) signifies a high risk for adjacent segment fracture.</w:t>
            </w:r>
          </w:p>
        </w:tc>
      </w:tr>
      <w:tr w:rsidR="00E4299A" w:rsidRPr="00E4299A" w14:paraId="69C999D4" w14:textId="77777777" w:rsidTr="00E90DB3">
        <w:trPr>
          <w:trHeight w:val="16"/>
        </w:trPr>
        <w:tc>
          <w:tcPr>
            <w:tcW w:w="0" w:type="auto"/>
            <w:vMerge w:val="restart"/>
            <w:shd w:val="clear" w:color="auto" w:fill="DAE9F7"/>
            <w:vAlign w:val="center"/>
          </w:tcPr>
          <w:p w14:paraId="455CA3CB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High Risk​​</w:t>
            </w:r>
          </w:p>
          <w:p w14:paraId="0E04789E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(2.0 ≤ OR &lt; 3.0)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5C93FF04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Bone Cement Disc Leakage​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34AB3071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2.94 (1.64 - 5.28)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266E3FC9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&lt;0.001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6E91C899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  <w:t>Cement leakage into the intervertebral disc significantly alters spinal biomechanics, increasing risk.</w:t>
            </w:r>
          </w:p>
        </w:tc>
      </w:tr>
      <w:tr w:rsidR="00E4299A" w:rsidRPr="00E4299A" w14:paraId="0669C433" w14:textId="77777777" w:rsidTr="00E90DB3">
        <w:trPr>
          <w:trHeight w:val="16"/>
        </w:trPr>
        <w:tc>
          <w:tcPr>
            <w:tcW w:w="0" w:type="auto"/>
            <w:vMerge/>
            <w:shd w:val="clear" w:color="auto" w:fill="DAE9F7"/>
            <w:vAlign w:val="center"/>
          </w:tcPr>
          <w:p w14:paraId="761F4AC8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DAE9F7"/>
            <w:vAlign w:val="center"/>
          </w:tcPr>
          <w:p w14:paraId="2984C2A9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Lack of Anti-Osteoporosis Treatment​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652C855D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2.93 (2.14 - 4.01)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780534EC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7ACC3066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Failure to initiate guideline-recommended pharmacotherapy post-PVA is a major modifiable risk factor.</w:t>
            </w:r>
          </w:p>
        </w:tc>
      </w:tr>
      <w:tr w:rsidR="00E4299A" w:rsidRPr="00E4299A" w14:paraId="04319927" w14:textId="77777777" w:rsidTr="00E90DB3">
        <w:trPr>
          <w:trHeight w:val="16"/>
        </w:trPr>
        <w:tc>
          <w:tcPr>
            <w:tcW w:w="0" w:type="auto"/>
            <w:vMerge/>
            <w:shd w:val="clear" w:color="auto" w:fill="DAE9F7"/>
            <w:vAlign w:val="center"/>
          </w:tcPr>
          <w:p w14:paraId="229897D8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DAE9F7"/>
            <w:vAlign w:val="center"/>
          </w:tcPr>
          <w:p w14:paraId="5305FF9A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Number of Initial Fractures​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282B9163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2.21 (1.17 - 4.14)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2A753FA9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6F17EED0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A greater number of fractured vertebrae at baseline indicates poorer overall bone quality and higher risk.</w:t>
            </w:r>
          </w:p>
        </w:tc>
      </w:tr>
      <w:tr w:rsidR="00E4299A" w:rsidRPr="00E4299A" w14:paraId="1E24EF11" w14:textId="77777777" w:rsidTr="00E90DB3">
        <w:trPr>
          <w:trHeight w:val="16"/>
        </w:trPr>
        <w:tc>
          <w:tcPr>
            <w:tcW w:w="0" w:type="auto"/>
            <w:vMerge w:val="restart"/>
            <w:shd w:val="clear" w:color="auto" w:fill="DAE9F7"/>
            <w:vAlign w:val="center"/>
          </w:tcPr>
          <w:p w14:paraId="7DCD1CBE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Moderate Risk​​</w:t>
            </w:r>
          </w:p>
          <w:p w14:paraId="40D4B257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  <w:t>(1.0 &lt; OR &lt; 2.0)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3ACA7D43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05343C06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1.99 (1.50 - 2.64)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3FEF6D00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5F356307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Female patients, particularly postmenopausal women, are a high-risk demographic.</w:t>
            </w:r>
          </w:p>
        </w:tc>
      </w:tr>
      <w:tr w:rsidR="00E4299A" w:rsidRPr="00E4299A" w14:paraId="24576B45" w14:textId="77777777" w:rsidTr="00E90DB3">
        <w:trPr>
          <w:trHeight w:val="16"/>
        </w:trPr>
        <w:tc>
          <w:tcPr>
            <w:tcW w:w="0" w:type="auto"/>
            <w:vMerge/>
            <w:shd w:val="clear" w:color="auto" w:fill="DAE9F7"/>
            <w:vAlign w:val="center"/>
          </w:tcPr>
          <w:p w14:paraId="09F42BC2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DAE9F7"/>
            <w:vAlign w:val="center"/>
          </w:tcPr>
          <w:p w14:paraId="773F5703" w14:textId="720E9EF0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Diabetes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53FA0E5E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1.98 (1.50 - 2.61)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3B0604CA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70F28EA6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Diabetes and its complications can adversely affect bone metabolism and healing.</w:t>
            </w:r>
          </w:p>
        </w:tc>
      </w:tr>
      <w:tr w:rsidR="00E4299A" w:rsidRPr="00E4299A" w14:paraId="1C6EE6AE" w14:textId="77777777" w:rsidTr="00E90DB3">
        <w:trPr>
          <w:trHeight w:val="16"/>
        </w:trPr>
        <w:tc>
          <w:tcPr>
            <w:tcW w:w="0" w:type="auto"/>
            <w:vMerge/>
            <w:shd w:val="clear" w:color="auto" w:fill="DAE9F7"/>
            <w:vAlign w:val="center"/>
          </w:tcPr>
          <w:p w14:paraId="48BAFE5F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DAE9F7"/>
            <w:vAlign w:val="center"/>
          </w:tcPr>
          <w:p w14:paraId="48BD6737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Smoking​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252D879E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1.62 (1.20 - 2.19)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5EB87BAF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666DC6C2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Smoking is a well-established risk factor for osteoporosis and impaired fracture healing.</w:t>
            </w:r>
          </w:p>
        </w:tc>
      </w:tr>
      <w:tr w:rsidR="00E4299A" w:rsidRPr="00E4299A" w14:paraId="507D03A4" w14:textId="77777777" w:rsidTr="00E90DB3">
        <w:trPr>
          <w:trHeight w:val="125"/>
        </w:trPr>
        <w:tc>
          <w:tcPr>
            <w:tcW w:w="0" w:type="auto"/>
            <w:vMerge/>
            <w:shd w:val="clear" w:color="auto" w:fill="DAE9F7"/>
            <w:vAlign w:val="center"/>
          </w:tcPr>
          <w:p w14:paraId="659471C2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DAE9F7"/>
            <w:vAlign w:val="center"/>
          </w:tcPr>
          <w:p w14:paraId="0ADD036F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Multiple Vertebral Fractures​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5BD978A3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1.71 (1.14 - 2.57)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40F5F1B6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3646AD8E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Similar to "Number of Initial Fractures", used to identify high-risk clinical subgroups.</w:t>
            </w:r>
          </w:p>
        </w:tc>
      </w:tr>
      <w:tr w:rsidR="00E4299A" w:rsidRPr="00E4299A" w14:paraId="2D195FE4" w14:textId="77777777" w:rsidTr="00E90DB3">
        <w:trPr>
          <w:trHeight w:val="16"/>
        </w:trPr>
        <w:tc>
          <w:tcPr>
            <w:tcW w:w="0" w:type="auto"/>
            <w:vMerge/>
            <w:shd w:val="clear" w:color="auto" w:fill="DAE9F7"/>
            <w:vAlign w:val="center"/>
          </w:tcPr>
          <w:p w14:paraId="6701895C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DAE9F7"/>
            <w:vAlign w:val="center"/>
          </w:tcPr>
          <w:p w14:paraId="40FF8602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Advanced Age​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25C4D0AC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1.09 (1.02 - 1.17)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0A861713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552FFD68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Represents the odds ratio per additional year of age.</w:t>
            </w:r>
          </w:p>
        </w:tc>
      </w:tr>
      <w:tr w:rsidR="00E4299A" w:rsidRPr="00E4299A" w14:paraId="7B0C18A5" w14:textId="77777777" w:rsidTr="00E90DB3">
        <w:trPr>
          <w:trHeight w:val="204"/>
        </w:trPr>
        <w:tc>
          <w:tcPr>
            <w:tcW w:w="0" w:type="auto"/>
            <w:vMerge/>
            <w:shd w:val="clear" w:color="auto" w:fill="DAE9F7"/>
            <w:vAlign w:val="center"/>
          </w:tcPr>
          <w:p w14:paraId="418070E4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DAE9F7"/>
            <w:vAlign w:val="center"/>
          </w:tcPr>
          <w:p w14:paraId="7777A41B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BMD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43DF9260" w14:textId="04CC22CC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1.35* (1.16 - 1.59)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72FF3C5F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44BBFE00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*Per 1 SD decrease in BMD T-score. Lower BMD is a fundamental risk factor for fragility fractures.</w:t>
            </w:r>
          </w:p>
        </w:tc>
      </w:tr>
      <w:tr w:rsidR="00E4299A" w:rsidRPr="00E4299A" w14:paraId="2A9A47EF" w14:textId="77777777" w:rsidTr="00E90DB3">
        <w:trPr>
          <w:trHeight w:val="441"/>
        </w:trPr>
        <w:tc>
          <w:tcPr>
            <w:tcW w:w="0" w:type="auto"/>
            <w:vMerge/>
            <w:shd w:val="clear" w:color="auto" w:fill="DAE9F7"/>
            <w:vAlign w:val="center"/>
          </w:tcPr>
          <w:p w14:paraId="1A1A5932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shd w:val="clear" w:color="auto" w:fill="DAE9F7"/>
            <w:vAlign w:val="center"/>
          </w:tcPr>
          <w:p w14:paraId="7FDC9253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Low HU Value​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4BE67F13" w14:textId="6D6C2AD3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1.04</w:t>
            </w:r>
            <w:r w:rsidR="000D69A8" w:rsidRPr="000D69A8">
              <w:rPr>
                <w:rFonts w:cs="Times New Roman" w:hint="eastAsia"/>
                <w:color w:val="000000" w:themeColor="text1"/>
                <w:sz w:val="24"/>
                <w:szCs w:val="24"/>
              </w:rPr>
              <w:t>*</w:t>
            </w: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​​ (1.03 - 1.05​​)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64A5DEBB" w14:textId="77777777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0" w:type="auto"/>
            <w:shd w:val="clear" w:color="auto" w:fill="DAE9F7"/>
            <w:vAlign w:val="center"/>
          </w:tcPr>
          <w:p w14:paraId="4A5E9C2D" w14:textId="7E334AD9" w:rsidR="00E4299A" w:rsidRPr="00E4299A" w:rsidRDefault="00E4299A" w:rsidP="00E90DB3">
            <w:pPr>
              <w:spacing w:line="360" w:lineRule="auto"/>
              <w:jc w:val="center"/>
              <w:rPr>
                <w:rFonts w:eastAsia="等线" w:cs="Times New Roman"/>
                <w:color w:val="000000"/>
                <w:sz w:val="24"/>
                <w:szCs w:val="24"/>
                <w14:ligatures w14:val="none"/>
              </w:rPr>
            </w:pP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*​Per 1 unit decrease in vertebral CT attenuation. A decrease of 10 HU units increases risk by ~48% (1.04^10</w:t>
            </w:r>
            <w:r w:rsidRPr="00E4299A">
              <w:rPr>
                <w:rFonts w:eastAsia="等线" w:cs="Times New Roman"/>
                <w:color w:val="000000" w:themeColor="text1"/>
                <w:sz w:val="24"/>
                <w:szCs w:val="24"/>
              </w:rPr>
              <w:t>≈</w:t>
            </w:r>
            <w:r w:rsidRPr="00E4299A">
              <w:rPr>
                <w:rFonts w:cs="Times New Roman"/>
                <w:color w:val="000000" w:themeColor="text1"/>
                <w:sz w:val="24"/>
                <w:szCs w:val="24"/>
              </w:rPr>
              <w:t>1.48).</w:t>
            </w:r>
          </w:p>
        </w:tc>
      </w:tr>
    </w:tbl>
    <w:p w14:paraId="54526102" w14:textId="3B6BBB85" w:rsidR="007B5160" w:rsidRDefault="007B5160">
      <w:pPr>
        <w:widowControl/>
        <w:jc w:val="left"/>
        <w:rPr>
          <w:rFonts w:hint="eastAsia"/>
        </w:rPr>
      </w:pPr>
    </w:p>
    <w:p w14:paraId="469AAECE" w14:textId="7F0A1C52" w:rsidR="007B5160" w:rsidRPr="007B5160" w:rsidRDefault="007B5160" w:rsidP="007B5160">
      <w:pPr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7B5160">
        <w:rPr>
          <w:rFonts w:ascii="Times New Roman" w:eastAsia="等线" w:hAnsi="Times New Roman" w:cs="Times New Roman"/>
          <w:sz w:val="24"/>
          <w:szCs w:val="24"/>
          <w14:ligatures w14:val="none"/>
        </w:rPr>
        <w:lastRenderedPageBreak/>
        <w:t>Notes:​​</w:t>
      </w:r>
      <w:r w:rsidR="00304F73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 xml:space="preserve"> </w:t>
      </w:r>
      <w:r w:rsidRPr="007B5160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1</w:t>
      </w:r>
      <w:r w:rsidR="00304F73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 xml:space="preserve">. </w:t>
      </w:r>
      <w:r w:rsidRPr="007B5160">
        <w:rPr>
          <w:rFonts w:ascii="Times New Roman" w:eastAsia="等线" w:hAnsi="Times New Roman" w:cs="Times New Roman"/>
          <w:sz w:val="24"/>
          <w:szCs w:val="24"/>
          <w14:ligatures w14:val="none"/>
        </w:rPr>
        <w:t>OR Transformation​​: For consistent interpretation (OR &gt; 1 indicates increased risk), the original Odds Ratios for protective factors were inverted:</w:t>
      </w:r>
    </w:p>
    <w:p w14:paraId="3730E157" w14:textId="77777777" w:rsidR="007B5160" w:rsidRPr="007B5160" w:rsidRDefault="007B5160" w:rsidP="007B5160">
      <w:pPr>
        <w:ind w:firstLineChars="100" w:firstLine="240"/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7B5160">
        <w:rPr>
          <w:rFonts w:ascii="Times New Roman" w:eastAsia="等线" w:hAnsi="Times New Roman" w:cs="Times New Roman"/>
          <w:sz w:val="24"/>
          <w:szCs w:val="24"/>
          <w14:ligatures w14:val="none"/>
        </w:rPr>
        <w:t>BMD​​: Original OR = 0.74 (0.63-0.86). Transformed OR = 1/0.74 ≈ ​​1.35​​ (95% CI: 1/0.86 ~ 1/0.63 ≈ 1.16 - 1.59). This represents the increased risk per 1 standard deviation decrease in BMD T-score.</w:t>
      </w:r>
    </w:p>
    <w:p w14:paraId="69418B8A" w14:textId="77777777" w:rsidR="007B5160" w:rsidRPr="007B5160" w:rsidRDefault="007B5160" w:rsidP="007B5160">
      <w:pPr>
        <w:ind w:firstLineChars="100" w:firstLine="240"/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7B5160">
        <w:rPr>
          <w:rFonts w:ascii="Times New Roman" w:eastAsia="等线" w:hAnsi="Times New Roman" w:cs="Times New Roman"/>
          <w:sz w:val="24"/>
          <w:szCs w:val="24"/>
          <w14:ligatures w14:val="none"/>
        </w:rPr>
        <w:t>HU Value​​: Original OR = 0.96 (0.95-0.97). Transformed OR = 1/0.96 ≈ ​​1.04​​ (95% CI: 1/0.97 ~ 1/0.95 ≈ 1.03 - 1.05). This represents the increased risk per 1 unit decrease in vertebral CT attenuation (HU). A clinical relevant decrease of 10 HU units e</w:t>
      </w:r>
      <w:r w:rsidRPr="007B5160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levates the risk by approximately 48%.</w:t>
      </w:r>
    </w:p>
    <w:p w14:paraId="12930B2C" w14:textId="77777777" w:rsidR="007B5160" w:rsidRPr="007B5160" w:rsidRDefault="007B5160" w:rsidP="007B5160">
      <w:pPr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7B5160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2.</w:t>
      </w:r>
      <w:r w:rsidRPr="007B5160">
        <w:rPr>
          <w:rFonts w:ascii="Times New Roman" w:eastAsia="等线" w:hAnsi="Times New Roman" w:cs="Times New Roman"/>
          <w:sz w:val="24"/>
          <w:szCs w:val="24"/>
          <w14:ligatures w14:val="none"/>
        </w:rPr>
        <w:t>Non-Significant Factors​​: Body mass index (BMI), General bone cement leakage (non-disc), and Shape of bone cement were not identified as significant risk factors in this meta-analysis and are not included.</w:t>
      </w:r>
    </w:p>
    <w:p w14:paraId="4B3483F2" w14:textId="47CDFF8D" w:rsidR="00E4299A" w:rsidRPr="00A26945" w:rsidRDefault="007B5160">
      <w:pPr>
        <w:rPr>
          <w:rFonts w:ascii="Times New Roman" w:eastAsia="等线" w:hAnsi="Times New Roman" w:cs="Times New Roman"/>
          <w:sz w:val="24"/>
          <w:szCs w:val="24"/>
          <w14:ligatures w14:val="none"/>
        </w:rPr>
      </w:pPr>
      <w:r w:rsidRPr="007B5160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3.</w:t>
      </w:r>
      <w:r w:rsidRPr="007B5160">
        <w:rPr>
          <w:rFonts w:ascii="Times New Roman" w:eastAsia="等线" w:hAnsi="Times New Roman" w:cs="Times New Roman"/>
          <w:sz w:val="24"/>
          <w:szCs w:val="24"/>
          <w14:ligatures w14:val="none"/>
        </w:rPr>
        <w:t>Clinical Utility​​: This stratification aids in pre-operative risk assessment and post-operative patient management. The presence of multiple risk factors, especially from higher strata, warrants more intensive monitoring, patient education, and aggressi</w:t>
      </w:r>
      <w:r w:rsidRPr="007B5160">
        <w:rPr>
          <w:rFonts w:ascii="Times New Roman" w:eastAsia="等线" w:hAnsi="Times New Roman" w:cs="Times New Roman" w:hint="eastAsia"/>
          <w:sz w:val="24"/>
          <w:szCs w:val="24"/>
          <w14:ligatures w14:val="none"/>
        </w:rPr>
        <w:t>ve preventive strategies (e.g., ensuring anti-osteoporosis treatment, fall prevention advice).</w:t>
      </w:r>
    </w:p>
    <w:sectPr w:rsidR="00E4299A" w:rsidRPr="00A26945" w:rsidSect="00E4299A">
      <w:pgSz w:w="16838" w:h="11906" w:orient="landscape"/>
      <w:pgMar w:top="289" w:right="238" w:bottom="289" w:left="3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D5208" w14:textId="77777777" w:rsidR="00E6226C" w:rsidRDefault="00E6226C" w:rsidP="00435A15">
      <w:pPr>
        <w:rPr>
          <w:rFonts w:hint="eastAsia"/>
        </w:rPr>
      </w:pPr>
      <w:r>
        <w:separator/>
      </w:r>
    </w:p>
  </w:endnote>
  <w:endnote w:type="continuationSeparator" w:id="0">
    <w:p w14:paraId="4553D4D2" w14:textId="77777777" w:rsidR="00E6226C" w:rsidRDefault="00E6226C" w:rsidP="00435A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FD524" w14:textId="77777777" w:rsidR="00E6226C" w:rsidRDefault="00E6226C" w:rsidP="00435A15">
      <w:pPr>
        <w:rPr>
          <w:rFonts w:hint="eastAsia"/>
        </w:rPr>
      </w:pPr>
      <w:r>
        <w:separator/>
      </w:r>
    </w:p>
  </w:footnote>
  <w:footnote w:type="continuationSeparator" w:id="0">
    <w:p w14:paraId="138BCE2C" w14:textId="77777777" w:rsidR="00E6226C" w:rsidRDefault="00E6226C" w:rsidP="00435A1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8F8"/>
    <w:rsid w:val="00087984"/>
    <w:rsid w:val="000D69A8"/>
    <w:rsid w:val="00185EFB"/>
    <w:rsid w:val="002346F3"/>
    <w:rsid w:val="0026010A"/>
    <w:rsid w:val="00304F73"/>
    <w:rsid w:val="003919F8"/>
    <w:rsid w:val="00435A15"/>
    <w:rsid w:val="007B5160"/>
    <w:rsid w:val="008A131C"/>
    <w:rsid w:val="0091304C"/>
    <w:rsid w:val="00982CF0"/>
    <w:rsid w:val="00A26945"/>
    <w:rsid w:val="00AC35CA"/>
    <w:rsid w:val="00B5573C"/>
    <w:rsid w:val="00BC5A55"/>
    <w:rsid w:val="00BE03AB"/>
    <w:rsid w:val="00BE58F8"/>
    <w:rsid w:val="00C42CC6"/>
    <w:rsid w:val="00DD74C0"/>
    <w:rsid w:val="00E4299A"/>
    <w:rsid w:val="00E6226C"/>
    <w:rsid w:val="00E90DB3"/>
    <w:rsid w:val="00E920DF"/>
    <w:rsid w:val="00FC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18F33"/>
  <w15:chartTrackingRefBased/>
  <w15:docId w15:val="{20DFF59E-DBCD-49C8-8A83-55A9F913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8F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5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8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58F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8F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8F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8F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8F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8F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"/>
    <w:basedOn w:val="a1"/>
    <w:uiPriority w:val="99"/>
    <w:rsid w:val="00087984"/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BE58F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E5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E5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E58F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E58F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E58F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E58F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E58F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E58F8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BE58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BE5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E58F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BE58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BE58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BE58F8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E58F8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BE58F8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E5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BE58F8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BE58F8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435A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35A15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35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35A15"/>
    <w:rPr>
      <w:sz w:val="18"/>
      <w:szCs w:val="18"/>
    </w:rPr>
  </w:style>
  <w:style w:type="table" w:customStyle="1" w:styleId="11">
    <w:name w:val="三线1"/>
    <w:basedOn w:val="a1"/>
    <w:uiPriority w:val="99"/>
    <w:rsid w:val="00435A15"/>
    <w:rPr>
      <w:rFonts w:ascii="Times New Roman" w:eastAsia="宋体" w:hAnsi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3">
    <w:name w:val="Table Grid"/>
    <w:basedOn w:val="a1"/>
    <w:uiPriority w:val="39"/>
    <w:rsid w:val="00435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三线2"/>
    <w:basedOn w:val="a1"/>
    <w:uiPriority w:val="99"/>
    <w:rsid w:val="00435A15"/>
    <w:rPr>
      <w:rFonts w:ascii="Times New Roman" w:eastAsia="宋体" w:hAnsi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三毛 刘</dc:creator>
  <cp:keywords/>
  <dc:description/>
  <cp:lastModifiedBy>三毛 刘</cp:lastModifiedBy>
  <cp:revision>11</cp:revision>
  <dcterms:created xsi:type="dcterms:W3CDTF">2025-09-16T19:53:00Z</dcterms:created>
  <dcterms:modified xsi:type="dcterms:W3CDTF">2025-09-21T23:27:00Z</dcterms:modified>
</cp:coreProperties>
</file>