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03B46E" w14:textId="77777777" w:rsidR="00456E94" w:rsidRPr="00456E94" w:rsidRDefault="00456E94" w:rsidP="00456E94">
      <w:pPr>
        <w:keepNext/>
        <w:keepLines/>
        <w:spacing w:before="40" w:after="0" w:line="259" w:lineRule="auto"/>
        <w:outlineLvl w:val="1"/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</w:pPr>
    </w:p>
    <w:p w14:paraId="152DBF1F" w14:textId="77777777" w:rsidR="00456E94" w:rsidRPr="00B32790" w:rsidRDefault="00456E94" w:rsidP="00456E94">
      <w:pPr>
        <w:keepNext/>
        <w:keepLines/>
        <w:spacing w:before="40" w:after="0" w:line="259" w:lineRule="auto"/>
        <w:outlineLvl w:val="1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B32790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Round 1 Feedback</w:t>
      </w:r>
    </w:p>
    <w:p w14:paraId="1709D5F7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F622611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Topographical Parts</w:t>
      </w:r>
    </w:p>
    <w:p w14:paraId="235B4301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“Bone Quality”</w:t>
      </w:r>
    </w:p>
    <w:p w14:paraId="7F263555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“Varus impaction/ medial calcar compromise”</w:t>
      </w:r>
    </w:p>
    <w:p w14:paraId="77D8F204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“Displacement magnitude”</w:t>
      </w:r>
    </w:p>
    <w:p w14:paraId="58C97245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“Head split”</w:t>
      </w:r>
    </w:p>
    <w:p w14:paraId="4331B3C8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“Sections metaphase, </w:t>
      </w:r>
      <w:proofErr w:type="spellStart"/>
      <w:r w:rsidRPr="00456E94">
        <w:rPr>
          <w:rFonts w:ascii="Times New Roman" w:eastAsia="Calibri" w:hAnsi="Times New Roman" w:cs="Times New Roman"/>
          <w:kern w:val="0"/>
          <w14:ligatures w14:val="none"/>
        </w:rPr>
        <w:t>etc</w:t>
      </w:r>
      <w:proofErr w:type="spellEnd"/>
      <w:r w:rsidRPr="00456E94">
        <w:rPr>
          <w:rFonts w:ascii="Times New Roman" w:eastAsia="Calibri" w:hAnsi="Times New Roman" w:cs="Times New Roman"/>
          <w:kern w:val="0"/>
          <w14:ligatures w14:val="none"/>
        </w:rPr>
        <w:t>”</w:t>
      </w:r>
    </w:p>
    <w:p w14:paraId="64CADD04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</w:t>
      </w:r>
      <w:proofErr w:type="gramStart"/>
      <w:r w:rsidRPr="00456E94">
        <w:rPr>
          <w:rFonts w:ascii="Times New Roman" w:eastAsia="Calibri" w:hAnsi="Times New Roman" w:cs="Times New Roman"/>
          <w:kern w:val="0"/>
          <w14:ligatures w14:val="none"/>
        </w:rPr>
        <w:t>bicipital</w:t>
      </w:r>
      <w:proofErr w:type="gram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groove”</w:t>
      </w:r>
    </w:p>
    <w:p w14:paraId="558DC8BB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“Displacement”</w:t>
      </w:r>
    </w:p>
    <w:p w14:paraId="3B5A8573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ABE6C9D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Displacement of Parts</w:t>
      </w:r>
    </w:p>
    <w:p w14:paraId="165982BA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“Displacement of the lesser tuber”</w:t>
      </w:r>
    </w:p>
    <w:p w14:paraId="02F8DC30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</w:t>
      </w:r>
      <w:proofErr w:type="gramStart"/>
      <w:r w:rsidRPr="00456E94">
        <w:rPr>
          <w:rFonts w:ascii="Times New Roman" w:eastAsia="Calibri" w:hAnsi="Times New Roman" w:cs="Times New Roman"/>
          <w:kern w:val="0"/>
          <w14:ligatures w14:val="none"/>
        </w:rPr>
        <w:t>complete</w:t>
      </w:r>
      <w:proofErr w:type="gram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displacement or incomplete (100%) shaft relative to articular surface”</w:t>
      </w:r>
    </w:p>
    <w:p w14:paraId="2023BCE9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“Angulation”</w:t>
      </w:r>
    </w:p>
    <w:p w14:paraId="1612F537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“Superior or posterior displacement”</w:t>
      </w:r>
    </w:p>
    <w:p w14:paraId="7055FCCB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“Rotation of fracture fragment”</w:t>
      </w:r>
    </w:p>
    <w:p w14:paraId="2DCFF255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“Direction of displacement proximal vs posterior”</w:t>
      </w:r>
    </w:p>
    <w:p w14:paraId="1D9060A7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“Measurements angulation, bone loss”</w:t>
      </w:r>
    </w:p>
    <w:p w14:paraId="46D89BDE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EE06C23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Dislocation</w:t>
      </w:r>
    </w:p>
    <w:p w14:paraId="02A1686A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“Subluxation”</w:t>
      </w:r>
    </w:p>
    <w:p w14:paraId="052F5AFE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“Inferior subluxation can occur without true dislocation”</w:t>
      </w:r>
    </w:p>
    <w:p w14:paraId="04C26366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“Head split”</w:t>
      </w:r>
    </w:p>
    <w:p w14:paraId="306BEF1A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“Angulation of fragments”</w:t>
      </w:r>
    </w:p>
    <w:p w14:paraId="37C085BA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FD6F5E0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4A39341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254E846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E5FA017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58D8A51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Head Shaft Angulation</w:t>
      </w:r>
    </w:p>
    <w:p w14:paraId="120017ED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“Comminution”</w:t>
      </w:r>
    </w:p>
    <w:p w14:paraId="28A2920D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“This should be true AP view to the glenohumeral joint (</w:t>
      </w:r>
      <w:proofErr w:type="spellStart"/>
      <w:r w:rsidRPr="00456E94">
        <w:rPr>
          <w:rFonts w:ascii="Times New Roman" w:eastAsia="Calibri" w:hAnsi="Times New Roman" w:cs="Times New Roman"/>
          <w:kern w:val="0"/>
          <w14:ligatures w14:val="none"/>
        </w:rPr>
        <w:t>Grashey</w:t>
      </w:r>
      <w:proofErr w:type="spell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view), not perpendicular to the chest (AP view); Should also measure head-shaft angulation on Scapular Y view”</w:t>
      </w:r>
    </w:p>
    <w:p w14:paraId="7FC9C3FA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“Angulation plus displacement”</w:t>
      </w:r>
    </w:p>
    <w:p w14:paraId="7A70440E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“Rotation”</w:t>
      </w:r>
    </w:p>
    <w:p w14:paraId="3FEFBF34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B86F9F1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Head Shaft Translation</w:t>
      </w:r>
    </w:p>
    <w:p w14:paraId="342F7A67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</w:t>
      </w:r>
      <w:proofErr w:type="gramStart"/>
      <w:r w:rsidRPr="00456E94">
        <w:rPr>
          <w:rFonts w:ascii="Times New Roman" w:eastAsia="Calibri" w:hAnsi="Times New Roman" w:cs="Times New Roman"/>
          <w:kern w:val="0"/>
          <w14:ligatures w14:val="none"/>
        </w:rPr>
        <w:t>greater</w:t>
      </w:r>
      <w:proofErr w:type="gram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or less than 100%”</w:t>
      </w:r>
    </w:p>
    <w:p w14:paraId="1C7791F8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“Shortening”</w:t>
      </w:r>
    </w:p>
    <w:p w14:paraId="322794B0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“This is most relevant if measured on upright XR with patient holding arm in neutral, supported position (where it will heal)”</w:t>
      </w:r>
    </w:p>
    <w:p w14:paraId="337FE341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“Percentage of contact”</w:t>
      </w:r>
    </w:p>
    <w:p w14:paraId="4C3DFABF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0C94BD4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Head Split Fracture</w:t>
      </w:r>
    </w:p>
    <w:p w14:paraId="456EC0B5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“Depression depth”</w:t>
      </w:r>
    </w:p>
    <w:p w14:paraId="44E3BE8A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“Percentage of intact head”</w:t>
      </w:r>
    </w:p>
    <w:p w14:paraId="701190D1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CED9636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Head Impaction</w:t>
      </w:r>
    </w:p>
    <w:p w14:paraId="71A89238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“Loose bodies”</w:t>
      </w:r>
    </w:p>
    <w:p w14:paraId="6AFE713E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“Important to distinguish between impaction of shaft and other fragments (i.e. tuberosities”</w:t>
      </w:r>
    </w:p>
    <w:p w14:paraId="3E4B3DF3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“Surface area”</w:t>
      </w:r>
    </w:p>
    <w:p w14:paraId="679478CE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5EB5565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Calcar Comminution</w:t>
      </w:r>
    </w:p>
    <w:p w14:paraId="7037E65F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“Maintenance of Gothic arch”</w:t>
      </w:r>
    </w:p>
    <w:p w14:paraId="2B8DACD2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“Stability and bone loss”</w:t>
      </w:r>
    </w:p>
    <w:p w14:paraId="752BB3C0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Metaphyseal Head Extension</w:t>
      </w:r>
    </w:p>
    <w:p w14:paraId="289BC72F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lastRenderedPageBreak/>
        <w:t>“Important to distinguish between calcar (medial metaphysis), and metaphysis.”</w:t>
      </w:r>
    </w:p>
    <w:p w14:paraId="7B35286B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“Inferior extension”</w:t>
      </w:r>
    </w:p>
    <w:p w14:paraId="415C829D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50B90B0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7BA66A2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Medial Hinge Disruption</w:t>
      </w:r>
    </w:p>
    <w:p w14:paraId="4500459E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“Angulation”</w:t>
      </w:r>
    </w:p>
    <w:p w14:paraId="367BA67A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“Unstable bone loss and comminution”</w:t>
      </w:r>
    </w:p>
    <w:p w14:paraId="40AE5543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B09B4FE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Missing features</w:t>
      </w:r>
    </w:p>
    <w:p w14:paraId="3E716351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“Complete displacement (&gt;100%) medial displacement of surgical neck fractures”</w:t>
      </w:r>
    </w:p>
    <w:p w14:paraId="1EFBFBC3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“Cuff insertion site, impingement”</w:t>
      </w:r>
    </w:p>
    <w:p w14:paraId="43F61971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“Osteopenia bone quality or modified Dorr classification”</w:t>
      </w:r>
    </w:p>
    <w:p w14:paraId="533AE754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</w:t>
      </w:r>
      <w:proofErr w:type="gramStart"/>
      <w:r w:rsidRPr="00456E94">
        <w:rPr>
          <w:rFonts w:ascii="Times New Roman" w:eastAsia="Calibri" w:hAnsi="Times New Roman" w:cs="Times New Roman"/>
          <w:kern w:val="0"/>
          <w14:ligatures w14:val="none"/>
        </w:rPr>
        <w:t>cortical</w:t>
      </w:r>
      <w:proofErr w:type="gram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thickness, pseudo subluxation - axillary nerve damage, is </w:t>
      </w:r>
      <w:proofErr w:type="spellStart"/>
      <w:r w:rsidRPr="00456E94">
        <w:rPr>
          <w:rFonts w:ascii="Times New Roman" w:eastAsia="Calibri" w:hAnsi="Times New Roman" w:cs="Times New Roman"/>
          <w:kern w:val="0"/>
          <w14:ligatures w14:val="none"/>
        </w:rPr>
        <w:t>xray</w:t>
      </w:r>
      <w:proofErr w:type="spell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upright or supine, arrow for upright”</w:t>
      </w:r>
    </w:p>
    <w:p w14:paraId="15C97535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</w:t>
      </w:r>
      <w:proofErr w:type="gramStart"/>
      <w:r w:rsidRPr="00456E94">
        <w:rPr>
          <w:rFonts w:ascii="Times New Roman" w:eastAsia="Calibri" w:hAnsi="Times New Roman" w:cs="Times New Roman"/>
          <w:kern w:val="0"/>
          <w14:ligatures w14:val="none"/>
        </w:rPr>
        <w:t>bone</w:t>
      </w:r>
      <w:proofErr w:type="gram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density, osteopenia, patient age, arm dominance, activity level”</w:t>
      </w:r>
    </w:p>
    <w:p w14:paraId="6CA2371C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“Level of arthritic changes”</w:t>
      </w:r>
    </w:p>
    <w:p w14:paraId="26292A9B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</w:t>
      </w:r>
      <w:proofErr w:type="gramStart"/>
      <w:r w:rsidRPr="00456E94">
        <w:rPr>
          <w:rFonts w:ascii="Times New Roman" w:eastAsia="Calibri" w:hAnsi="Times New Roman" w:cs="Times New Roman"/>
          <w:kern w:val="0"/>
          <w14:ligatures w14:val="none"/>
        </w:rPr>
        <w:t>bone</w:t>
      </w:r>
      <w:proofErr w:type="gram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quality, pre OA”</w:t>
      </w:r>
    </w:p>
    <w:p w14:paraId="1454327C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“Bone quality”</w:t>
      </w:r>
    </w:p>
    <w:p w14:paraId="7D217F08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</w:t>
      </w:r>
      <w:proofErr w:type="gramStart"/>
      <w:r w:rsidRPr="00456E94">
        <w:rPr>
          <w:rFonts w:ascii="Times New Roman" w:eastAsia="Calibri" w:hAnsi="Times New Roman" w:cs="Times New Roman"/>
          <w:kern w:val="0"/>
          <w14:ligatures w14:val="none"/>
        </w:rPr>
        <w:t>bone</w:t>
      </w:r>
      <w:proofErr w:type="gram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quality”</w:t>
      </w:r>
    </w:p>
    <w:p w14:paraId="09135AC2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“Comminution or segmental fracture of the proximal shaft between surgical neck and deltoid tuberosity”</w:t>
      </w:r>
    </w:p>
    <w:p w14:paraId="468D79E6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</w:t>
      </w:r>
      <w:proofErr w:type="spellStart"/>
      <w:proofErr w:type="gramStart"/>
      <w:r w:rsidRPr="00456E94">
        <w:rPr>
          <w:rFonts w:ascii="Times New Roman" w:eastAsia="Calibri" w:hAnsi="Times New Roman" w:cs="Times New Roman"/>
          <w:kern w:val="0"/>
          <w14:ligatures w14:val="none"/>
        </w:rPr>
        <w:t>Pre existing</w:t>
      </w:r>
      <w:proofErr w:type="spellEnd"/>
      <w:proofErr w:type="gram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OA, RCT arthropathy”</w:t>
      </w:r>
    </w:p>
    <w:p w14:paraId="3C8A59F3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</w:t>
      </w:r>
      <w:proofErr w:type="gramStart"/>
      <w:r w:rsidRPr="00456E94">
        <w:rPr>
          <w:rFonts w:ascii="Times New Roman" w:eastAsia="Calibri" w:hAnsi="Times New Roman" w:cs="Times New Roman"/>
          <w:kern w:val="0"/>
          <w14:ligatures w14:val="none"/>
        </w:rPr>
        <w:t>bone</w:t>
      </w:r>
      <w:proofErr w:type="gram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quality, cortical thickness”</w:t>
      </w:r>
    </w:p>
    <w:p w14:paraId="22A9A09C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“Bone quality”</w:t>
      </w:r>
    </w:p>
    <w:p w14:paraId="608358A3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“Combined patterns </w:t>
      </w:r>
      <w:proofErr w:type="spellStart"/>
      <w:r w:rsidRPr="00456E94">
        <w:rPr>
          <w:rFonts w:ascii="Times New Roman" w:eastAsia="Calibri" w:hAnsi="Times New Roman" w:cs="Times New Roman"/>
          <w:kern w:val="0"/>
          <w14:ligatures w14:val="none"/>
        </w:rPr>
        <w:t>ie</w:t>
      </w:r>
      <w:proofErr w:type="spell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head split dislocation”</w:t>
      </w:r>
    </w:p>
    <w:p w14:paraId="29EC487F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“Bone quality”</w:t>
      </w:r>
    </w:p>
    <w:p w14:paraId="68A5FD76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</w:t>
      </w:r>
      <w:proofErr w:type="gramStart"/>
      <w:r w:rsidRPr="00456E94">
        <w:rPr>
          <w:rFonts w:ascii="Times New Roman" w:eastAsia="Calibri" w:hAnsi="Times New Roman" w:cs="Times New Roman"/>
          <w:kern w:val="0"/>
          <w14:ligatures w14:val="none"/>
        </w:rPr>
        <w:t>bone</w:t>
      </w:r>
      <w:proofErr w:type="gram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quality”</w:t>
      </w:r>
    </w:p>
    <w:p w14:paraId="42F98317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56E94">
        <w:rPr>
          <w:rFonts w:ascii="Times New Roman" w:eastAsia="Calibri" w:hAnsi="Times New Roman" w:cs="Times New Roman"/>
          <w:kern w:val="0"/>
          <w14:ligatures w14:val="none"/>
        </w:rPr>
        <w:t>“</w:t>
      </w:r>
      <w:proofErr w:type="gramStart"/>
      <w:r w:rsidRPr="00456E94">
        <w:rPr>
          <w:rFonts w:ascii="Times New Roman" w:eastAsia="Calibri" w:hAnsi="Times New Roman" w:cs="Times New Roman"/>
          <w:kern w:val="0"/>
          <w14:ligatures w14:val="none"/>
        </w:rPr>
        <w:t>displacement</w:t>
      </w:r>
      <w:proofErr w:type="gramEnd"/>
      <w:r w:rsidRPr="00456E94">
        <w:rPr>
          <w:rFonts w:ascii="Times New Roman" w:eastAsia="Calibri" w:hAnsi="Times New Roman" w:cs="Times New Roman"/>
          <w:kern w:val="0"/>
          <w14:ligatures w14:val="none"/>
        </w:rPr>
        <w:t xml:space="preserve"> of the tuberosities, age, pre shoulder OA, thickness of the head segment that remains”</w:t>
      </w:r>
    </w:p>
    <w:p w14:paraId="7926E06B" w14:textId="77777777" w:rsidR="00456E94" w:rsidRPr="00456E94" w:rsidRDefault="00456E94" w:rsidP="00456E94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4A6424F" w14:textId="08DFF912" w:rsidR="0042031A" w:rsidRPr="00456E94" w:rsidRDefault="0042031A" w:rsidP="00456E94">
      <w:pPr>
        <w:spacing w:line="259" w:lineRule="auto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sectPr w:rsidR="0042031A" w:rsidRPr="00456E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A"/>
    <w:rsid w:val="000767B5"/>
    <w:rsid w:val="0042031A"/>
    <w:rsid w:val="00456E94"/>
    <w:rsid w:val="007C7031"/>
    <w:rsid w:val="00B3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5F388"/>
  <w15:chartTrackingRefBased/>
  <w15:docId w15:val="{2720007F-73F4-4160-AA67-4D537881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0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3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3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3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3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3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3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3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3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3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3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3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3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3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3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Maria Cordero-Romero</dc:creator>
  <cp:keywords/>
  <dc:description/>
  <cp:lastModifiedBy>Susan Maria Cordero-Romero</cp:lastModifiedBy>
  <cp:revision>3</cp:revision>
  <dcterms:created xsi:type="dcterms:W3CDTF">2024-11-13T14:07:00Z</dcterms:created>
  <dcterms:modified xsi:type="dcterms:W3CDTF">2024-11-19T00:24:00Z</dcterms:modified>
</cp:coreProperties>
</file>