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DD15" w14:textId="6A47B709" w:rsidR="005C2DB5" w:rsidRDefault="008421A2">
      <w:pPr>
        <w:pStyle w:val="a6"/>
        <w:spacing w:before="0" w:beforeAutospacing="0" w:after="0" w:afterAutospacing="0" w:line="480" w:lineRule="auto"/>
        <w:jc w:val="both"/>
        <w:rPr>
          <w:rFonts w:ascii="Arial" w:eastAsia="BatangChe" w:hAnsi="Arial" w:cs="Arial"/>
          <w:b/>
          <w:color w:val="000000" w:themeColor="text1"/>
          <w:lang w:val="en-US" w:eastAsia="ko-KR"/>
        </w:rPr>
      </w:pPr>
      <w:r>
        <w:rPr>
          <w:rFonts w:ascii="Arial" w:eastAsiaTheme="minorEastAsia" w:hAnsi="Arial" w:cs="Arial" w:hint="eastAsia"/>
          <w:b/>
          <w:color w:val="000000" w:themeColor="text1"/>
          <w:lang w:val="en-US"/>
        </w:rPr>
        <w:t>S</w:t>
      </w:r>
      <w:r w:rsidR="002007A5" w:rsidRPr="002007A5">
        <w:rPr>
          <w:rFonts w:ascii="Arial" w:eastAsia="BatangChe" w:hAnsi="Arial" w:cs="Arial"/>
          <w:b/>
          <w:color w:val="000000" w:themeColor="text1"/>
          <w:lang w:val="en-US" w:eastAsia="ko-KR"/>
        </w:rPr>
        <w:t>upplementary</w:t>
      </w:r>
      <w:r>
        <w:rPr>
          <w:rFonts w:ascii="Arial" w:eastAsia="BatangChe" w:hAnsi="Arial" w:cs="Arial"/>
          <w:b/>
          <w:color w:val="000000" w:themeColor="text1"/>
          <w:lang w:val="en-US" w:eastAsia="ko-KR"/>
        </w:rPr>
        <w:t xml:space="preserve"> Materials and Methods </w:t>
      </w:r>
    </w:p>
    <w:p w14:paraId="2DD15AFA"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Bioinformatic analysis</w:t>
      </w:r>
    </w:p>
    <w:p w14:paraId="539BF579" w14:textId="25C8D234" w:rsidR="005C2DB5" w:rsidRDefault="00000000">
      <w:pPr>
        <w:pStyle w:val="a6"/>
        <w:spacing w:before="0" w:beforeAutospacing="0" w:after="0" w:afterAutospacing="0" w:line="480" w:lineRule="auto"/>
        <w:jc w:val="both"/>
        <w:rPr>
          <w:rFonts w:ascii="Arial" w:hAnsi="Arial" w:cs="Arial"/>
          <w:color w:val="000000" w:themeColor="text1"/>
          <w:lang w:val="en-US"/>
        </w:rPr>
      </w:pPr>
      <w:r>
        <w:rPr>
          <w:rFonts w:ascii="Arial" w:hAnsi="Arial" w:cs="Arial"/>
          <w:color w:val="000000" w:themeColor="text1"/>
          <w:lang w:val="en-US"/>
        </w:rPr>
        <w:t xml:space="preserve">The </w:t>
      </w:r>
      <w:proofErr w:type="spellStart"/>
      <w:r>
        <w:rPr>
          <w:rFonts w:ascii="Arial" w:hAnsi="Arial" w:cs="Arial"/>
          <w:color w:val="000000" w:themeColor="text1"/>
          <w:lang w:val="en-US"/>
        </w:rPr>
        <w:t>scRNA</w:t>
      </w:r>
      <w:proofErr w:type="spellEnd"/>
      <w:r>
        <w:rPr>
          <w:rFonts w:ascii="Arial" w:hAnsi="Arial" w:cs="Arial"/>
          <w:color w:val="000000" w:themeColor="text1"/>
          <w:lang w:val="en-US"/>
        </w:rPr>
        <w:t xml:space="preserve">-seq data of </w:t>
      </w:r>
      <w:r>
        <w:rPr>
          <w:rFonts w:ascii="Arial" w:eastAsia="宋体" w:hAnsi="Arial" w:cs="Arial" w:hint="eastAsia"/>
          <w:color w:val="000000" w:themeColor="text1"/>
          <w:lang w:val="en-US"/>
        </w:rPr>
        <w:t>4</w:t>
      </w:r>
      <w:r>
        <w:rPr>
          <w:rFonts w:ascii="Arial" w:hAnsi="Arial" w:cs="Arial"/>
          <w:color w:val="000000" w:themeColor="text1"/>
          <w:lang w:val="en-US"/>
        </w:rPr>
        <w:t xml:space="preserve"> </w:t>
      </w:r>
      <w:r>
        <w:rPr>
          <w:rFonts w:ascii="Arial" w:eastAsia="宋体" w:hAnsi="Arial" w:cs="Arial" w:hint="eastAsia"/>
          <w:color w:val="000000" w:themeColor="text1"/>
          <w:lang w:val="en-US"/>
        </w:rPr>
        <w:t>e</w:t>
      </w:r>
      <w:r>
        <w:rPr>
          <w:rFonts w:ascii="Arial" w:hAnsi="Arial" w:cs="Arial"/>
          <w:color w:val="000000" w:themeColor="text1"/>
          <w:lang w:val="en-US"/>
        </w:rPr>
        <w:t>arly OA and</w:t>
      </w:r>
      <w:r>
        <w:rPr>
          <w:rFonts w:ascii="Arial" w:hAnsi="Arial" w:cs="Arial" w:hint="eastAsia"/>
          <w:color w:val="000000" w:themeColor="text1"/>
          <w:lang w:val="en-US"/>
        </w:rPr>
        <w:t xml:space="preserve"> </w:t>
      </w:r>
      <w:r>
        <w:rPr>
          <w:rFonts w:ascii="Arial" w:eastAsia="宋体" w:hAnsi="Arial" w:cs="Arial" w:hint="eastAsia"/>
          <w:color w:val="000000" w:themeColor="text1"/>
          <w:lang w:val="en-US"/>
        </w:rPr>
        <w:t>4</w:t>
      </w:r>
      <w:r>
        <w:rPr>
          <w:rFonts w:ascii="Arial" w:hAnsi="Arial" w:cs="Arial" w:hint="eastAsia"/>
          <w:color w:val="000000" w:themeColor="text1"/>
          <w:lang w:val="en-US"/>
        </w:rPr>
        <w:t xml:space="preserve"> </w:t>
      </w:r>
      <w:r>
        <w:rPr>
          <w:rFonts w:ascii="Arial" w:eastAsia="宋体" w:hAnsi="Arial" w:cs="Arial" w:hint="eastAsia"/>
          <w:color w:val="000000" w:themeColor="text1"/>
          <w:lang w:val="en-US"/>
        </w:rPr>
        <w:t>e</w:t>
      </w:r>
      <w:r>
        <w:rPr>
          <w:rFonts w:ascii="Arial" w:hAnsi="Arial" w:cs="Arial"/>
          <w:color w:val="000000" w:themeColor="text1"/>
          <w:lang w:val="en-US"/>
        </w:rPr>
        <w:t>nd-stage OA synovial tissue specimen</w:t>
      </w:r>
      <w:r w:rsidR="00570FA4">
        <w:rPr>
          <w:rFonts w:ascii="Arial" w:eastAsiaTheme="minorEastAsia" w:hAnsi="Arial" w:cs="Arial" w:hint="eastAsia"/>
          <w:color w:val="000000" w:themeColor="text1"/>
          <w:lang w:val="en-US"/>
        </w:rPr>
        <w:t>s</w:t>
      </w:r>
      <w:r>
        <w:rPr>
          <w:rFonts w:ascii="Arial" w:hAnsi="Arial" w:cs="Arial"/>
          <w:color w:val="000000" w:themeColor="text1"/>
          <w:lang w:val="en-US"/>
        </w:rPr>
        <w:t xml:space="preserve"> were obtained from GSE176308. The data were preprocessed using the Seurat</w:t>
      </w:r>
      <w:r>
        <w:rPr>
          <w:rFonts w:ascii="Arial" w:eastAsia="宋体" w:hAnsi="Arial" w:cs="Arial" w:hint="eastAsia"/>
          <w:color w:val="000000" w:themeColor="text1"/>
          <w:lang w:val="en-US"/>
        </w:rPr>
        <w:t xml:space="preserve"> </w:t>
      </w:r>
      <w:r>
        <w:rPr>
          <w:rFonts w:ascii="Arial" w:hAnsi="Arial" w:cs="Arial"/>
          <w:color w:val="000000" w:themeColor="text1"/>
          <w:lang w:val="en-US"/>
        </w:rPr>
        <w:t>package</w:t>
      </w:r>
      <w:r>
        <w:rPr>
          <w:rFonts w:ascii="Arial" w:eastAsiaTheme="minorEastAsia" w:hAnsi="Arial" w:cs="Arial" w:hint="eastAsia"/>
          <w:color w:val="000000" w:themeColor="text1"/>
          <w:lang w:val="en-US"/>
        </w:rPr>
        <w:t xml:space="preserve"> (5.3.0)</w:t>
      </w:r>
      <w:r>
        <w:rPr>
          <w:rFonts w:ascii="Arial" w:hAnsi="Arial" w:cs="Arial"/>
          <w:color w:val="000000" w:themeColor="text1"/>
          <w:lang w:val="en-US"/>
        </w:rPr>
        <w:t xml:space="preserve">, and those cells were </w:t>
      </w:r>
      <w:bookmarkStart w:id="0" w:name="OLE_LINK1"/>
      <w:r>
        <w:rPr>
          <w:rFonts w:ascii="Arial" w:hAnsi="Arial" w:cs="Arial"/>
          <w:color w:val="000000" w:themeColor="text1"/>
          <w:lang w:val="en-US"/>
        </w:rPr>
        <w:t>filter</w:t>
      </w:r>
      <w:r>
        <w:rPr>
          <w:rFonts w:ascii="Arial" w:eastAsia="宋体" w:hAnsi="Arial" w:cs="Arial" w:hint="eastAsia"/>
          <w:color w:val="000000" w:themeColor="text1"/>
          <w:lang w:val="en-US"/>
        </w:rPr>
        <w:t>ed</w:t>
      </w:r>
      <w:r>
        <w:rPr>
          <w:rFonts w:ascii="Arial" w:hAnsi="Arial" w:cs="Arial"/>
          <w:color w:val="000000" w:themeColor="text1"/>
          <w:lang w:val="en-US"/>
        </w:rPr>
        <w:t xml:space="preserve"> out </w:t>
      </w:r>
      <w:bookmarkEnd w:id="0"/>
      <w:r>
        <w:rPr>
          <w:rFonts w:ascii="Arial" w:hAnsi="Arial" w:cs="Arial"/>
          <w:color w:val="000000" w:themeColor="text1"/>
          <w:lang w:val="en-US"/>
        </w:rPr>
        <w:t xml:space="preserve">if they apply one of </w:t>
      </w:r>
      <w:bookmarkStart w:id="1" w:name="OLE_LINK14"/>
      <w:r>
        <w:rPr>
          <w:rFonts w:ascii="Arial" w:hAnsi="Arial" w:cs="Arial"/>
          <w:color w:val="000000" w:themeColor="text1"/>
          <w:lang w:val="en-US"/>
        </w:rPr>
        <w:t>the following criteria</w:t>
      </w:r>
      <w:bookmarkEnd w:id="1"/>
      <w:r>
        <w:rPr>
          <w:rFonts w:ascii="Arial" w:hAnsi="Arial" w:cs="Arial"/>
          <w:color w:val="000000" w:themeColor="text1"/>
          <w:lang w:val="en-US"/>
        </w:rPr>
        <w:t xml:space="preserve">: 1. the number of expressed genes lower than 200 or larger than 7000; 2. more than 10% of UMIs </w:t>
      </w:r>
      <w:bookmarkStart w:id="2" w:name="OLE_LINK15"/>
      <w:r>
        <w:rPr>
          <w:rFonts w:ascii="Arial" w:hAnsi="Arial" w:cs="Arial"/>
          <w:color w:val="000000" w:themeColor="text1"/>
          <w:lang w:val="en-US"/>
        </w:rPr>
        <w:t>mapped to mitochondrial genes.</w:t>
      </w:r>
      <w:bookmarkEnd w:id="2"/>
      <w:r>
        <w:rPr>
          <w:rFonts w:ascii="Arial" w:hAnsi="Arial" w:cs="Arial"/>
          <w:color w:val="000000" w:themeColor="text1"/>
          <w:lang w:val="en-US"/>
        </w:rPr>
        <w:t xml:space="preserve"> After quality control of data, we used the “</w:t>
      </w:r>
      <w:proofErr w:type="spellStart"/>
      <w:r>
        <w:rPr>
          <w:rFonts w:ascii="Arial" w:hAnsi="Arial" w:cs="Arial"/>
          <w:color w:val="000000" w:themeColor="text1"/>
          <w:lang w:val="en-US"/>
        </w:rPr>
        <w:t>FindVariableFeatures</w:t>
      </w:r>
      <w:proofErr w:type="spellEnd"/>
      <w:r>
        <w:rPr>
          <w:rFonts w:ascii="Arial" w:hAnsi="Arial" w:cs="Arial"/>
          <w:color w:val="000000" w:themeColor="text1"/>
          <w:lang w:val="en-US"/>
        </w:rPr>
        <w:t xml:space="preserve">” function to identify the top 2,000 highly variable genes, then performed principal component analysis (PCA) and uniform manifold approximation and projection (UMAP) to analyze the data. Cell types were annotated using the </w:t>
      </w:r>
      <w:proofErr w:type="spellStart"/>
      <w:r>
        <w:rPr>
          <w:rFonts w:ascii="Arial" w:hAnsi="Arial" w:cs="Arial"/>
          <w:color w:val="000000" w:themeColor="text1"/>
          <w:lang w:val="en-US"/>
        </w:rPr>
        <w:t>SingleR</w:t>
      </w:r>
      <w:proofErr w:type="spellEnd"/>
      <w:r>
        <w:rPr>
          <w:rFonts w:ascii="Arial" w:eastAsiaTheme="minorEastAsia" w:hAnsi="Arial" w:cs="Arial" w:hint="eastAsia"/>
          <w:color w:val="000000" w:themeColor="text1"/>
          <w:lang w:val="en-US"/>
        </w:rPr>
        <w:t xml:space="preserve"> (</w:t>
      </w:r>
      <w:r>
        <w:rPr>
          <w:rFonts w:ascii="Arial" w:eastAsiaTheme="minorEastAsia" w:hAnsi="Arial" w:cs="Arial"/>
          <w:color w:val="000000" w:themeColor="text1"/>
          <w:lang w:val="en-US"/>
        </w:rPr>
        <w:t>2.</w:t>
      </w:r>
      <w:r>
        <w:rPr>
          <w:rFonts w:ascii="Arial" w:eastAsiaTheme="minorEastAsia" w:hAnsi="Arial" w:cs="Arial" w:hint="eastAsia"/>
          <w:color w:val="000000" w:themeColor="text1"/>
          <w:lang w:val="en-US"/>
        </w:rPr>
        <w:t>8</w:t>
      </w:r>
      <w:r>
        <w:rPr>
          <w:rFonts w:ascii="Arial" w:eastAsiaTheme="minorEastAsia" w:hAnsi="Arial" w:cs="Arial"/>
          <w:color w:val="000000" w:themeColor="text1"/>
          <w:lang w:val="en-US"/>
        </w:rPr>
        <w:t>.</w:t>
      </w:r>
      <w:r>
        <w:rPr>
          <w:rFonts w:ascii="Arial" w:eastAsiaTheme="minorEastAsia" w:hAnsi="Arial" w:cs="Arial" w:hint="eastAsia"/>
          <w:color w:val="000000" w:themeColor="text1"/>
          <w:lang w:val="en-US"/>
        </w:rPr>
        <w:t>0)</w:t>
      </w:r>
      <w:r>
        <w:rPr>
          <w:rFonts w:ascii="Arial" w:hAnsi="Arial" w:cs="Arial"/>
          <w:color w:val="000000" w:themeColor="text1"/>
          <w:lang w:val="en-US"/>
        </w:rPr>
        <w:t xml:space="preserve"> package, </w:t>
      </w:r>
      <w:bookmarkStart w:id="3" w:name="OLE_LINK22"/>
      <w:r>
        <w:rPr>
          <w:rFonts w:ascii="Arial" w:hAnsi="Arial" w:cs="Arial"/>
          <w:color w:val="000000" w:themeColor="text1"/>
          <w:lang w:val="en-US"/>
        </w:rPr>
        <w:t>leveraging</w:t>
      </w:r>
      <w:bookmarkEnd w:id="3"/>
      <w:r>
        <w:rPr>
          <w:rFonts w:ascii="Arial" w:hAnsi="Arial" w:cs="Arial"/>
          <w:color w:val="000000" w:themeColor="text1"/>
          <w:lang w:val="en-US"/>
        </w:rPr>
        <w:t xml:space="preserve"> the </w:t>
      </w:r>
      <w:proofErr w:type="spellStart"/>
      <w:r>
        <w:rPr>
          <w:rFonts w:ascii="Arial" w:hAnsi="Arial" w:cs="Arial"/>
          <w:color w:val="000000" w:themeColor="text1"/>
          <w:lang w:val="en-US"/>
        </w:rPr>
        <w:t>CellMarker</w:t>
      </w:r>
      <w:proofErr w:type="spellEnd"/>
      <w:r>
        <w:rPr>
          <w:rFonts w:ascii="Arial" w:hAnsi="Arial" w:cs="Arial"/>
          <w:color w:val="000000" w:themeColor="text1"/>
          <w:lang w:val="en-US"/>
        </w:rPr>
        <w:t xml:space="preserve"> dataset and referring to previous studies. Finally, </w:t>
      </w:r>
      <w:bookmarkStart w:id="4" w:name="_Hlk211246879"/>
      <w:r>
        <w:rPr>
          <w:rFonts w:ascii="Arial" w:hAnsi="Arial" w:cs="Arial" w:hint="eastAsia"/>
          <w:color w:val="000000" w:themeColor="text1"/>
          <w:lang w:val="en-US"/>
        </w:rPr>
        <w:t xml:space="preserve">Gene Ontology (GO) and Kyoto Encyclopedia of Genes and Genomes (KEGG) </w:t>
      </w:r>
      <w:bookmarkEnd w:id="4"/>
      <w:r>
        <w:rPr>
          <w:rFonts w:ascii="Arial" w:hAnsi="Arial" w:cs="Arial" w:hint="eastAsia"/>
          <w:color w:val="000000" w:themeColor="text1"/>
          <w:lang w:val="en-US"/>
        </w:rPr>
        <w:t>pathway enrichment analyses</w:t>
      </w:r>
      <w:r>
        <w:rPr>
          <w:rFonts w:ascii="Arial" w:hAnsi="Arial" w:cs="Arial"/>
          <w:color w:val="000000" w:themeColor="text1"/>
          <w:lang w:val="en-US"/>
        </w:rPr>
        <w:t xml:space="preserve"> were implemented by the </w:t>
      </w:r>
      <w:proofErr w:type="spellStart"/>
      <w:r>
        <w:rPr>
          <w:rFonts w:ascii="Arial" w:hAnsi="Arial" w:cs="Arial"/>
          <w:color w:val="000000" w:themeColor="text1"/>
          <w:lang w:val="en-US"/>
        </w:rPr>
        <w:t>ClusterProfiler</w:t>
      </w:r>
      <w:proofErr w:type="spellEnd"/>
      <w:r>
        <w:rPr>
          <w:rFonts w:ascii="Arial" w:eastAsiaTheme="minorEastAsia" w:hAnsi="Arial" w:cs="Arial" w:hint="eastAsia"/>
          <w:color w:val="000000" w:themeColor="text1"/>
          <w:lang w:val="en-US"/>
        </w:rPr>
        <w:t xml:space="preserve"> (4.14.6)</w:t>
      </w:r>
      <w:r>
        <w:rPr>
          <w:rFonts w:ascii="Arial" w:hAnsi="Arial" w:cs="Arial"/>
          <w:color w:val="000000" w:themeColor="text1"/>
          <w:lang w:val="en-US"/>
        </w:rPr>
        <w:t>.</w:t>
      </w:r>
    </w:p>
    <w:p w14:paraId="2124F5D4" w14:textId="5CBC118B" w:rsidR="005C2DB5" w:rsidRDefault="00000000">
      <w:pPr>
        <w:pStyle w:val="a6"/>
        <w:spacing w:beforeAutospacing="0" w:afterAutospacing="0" w:line="480" w:lineRule="auto"/>
        <w:jc w:val="both"/>
        <w:rPr>
          <w:rFonts w:ascii="Arial" w:hAnsi="Arial" w:cs="Arial"/>
          <w:color w:val="000000" w:themeColor="text1"/>
          <w:lang w:val="en-US"/>
        </w:rPr>
      </w:pPr>
      <w:bookmarkStart w:id="5" w:name="OLE_LINK2"/>
      <w:r>
        <w:rPr>
          <w:rFonts w:ascii="Arial" w:hAnsi="Arial" w:cs="Arial"/>
          <w:color w:val="000000" w:themeColor="text1"/>
          <w:lang w:val="en-US"/>
        </w:rPr>
        <w:t>The bulk RNA-seq data were obtained from 34 normal and 55 OA human synovial tissue samples from GSE3698, GSE77298, GSE82107, GSE55235, GSE55457, and GSE55584. Using the platform's annotation data, probes were mapped and converted into gene symbols. Samples from the normal and OA groups were combined, and non-matching or excess multi-probe sets were removed or averaged.</w:t>
      </w:r>
      <w:r>
        <w:rPr>
          <w:rFonts w:ascii="Arial" w:eastAsia="宋体" w:hAnsi="Arial" w:cs="Arial"/>
          <w:color w:val="000000" w:themeColor="text1"/>
          <w:lang w:val="en-US"/>
        </w:rPr>
        <w:t xml:space="preserve"> </w:t>
      </w:r>
      <w:r>
        <w:rPr>
          <w:rFonts w:ascii="Arial" w:hAnsi="Arial" w:cs="Arial"/>
          <w:color w:val="000000" w:themeColor="text1"/>
          <w:lang w:val="en-US"/>
        </w:rPr>
        <w:t xml:space="preserve">The </w:t>
      </w:r>
      <w:proofErr w:type="spellStart"/>
      <w:r w:rsidR="00570FA4">
        <w:rPr>
          <w:rFonts w:ascii="Arial" w:eastAsiaTheme="minorEastAsia" w:hAnsi="Arial" w:cs="Arial" w:hint="eastAsia"/>
          <w:color w:val="000000" w:themeColor="text1"/>
          <w:lang w:val="en-US"/>
        </w:rPr>
        <w:t>L</w:t>
      </w:r>
      <w:r>
        <w:rPr>
          <w:rFonts w:ascii="Arial" w:hAnsi="Arial" w:cs="Arial"/>
          <w:color w:val="000000" w:themeColor="text1"/>
          <w:lang w:val="en-US"/>
        </w:rPr>
        <w:t>imma</w:t>
      </w:r>
      <w:proofErr w:type="spellEnd"/>
      <w:r>
        <w:rPr>
          <w:rFonts w:ascii="Arial" w:hAnsi="Arial" w:cs="Arial"/>
          <w:color w:val="000000" w:themeColor="text1"/>
          <w:lang w:val="en-US"/>
        </w:rPr>
        <w:t xml:space="preserve"> package</w:t>
      </w:r>
      <w:r>
        <w:rPr>
          <w:rFonts w:ascii="Arial" w:eastAsia="宋体" w:hAnsi="Arial" w:cs="Arial" w:hint="eastAsia"/>
          <w:color w:val="000000" w:themeColor="text1"/>
          <w:lang w:val="en-US"/>
        </w:rPr>
        <w:t xml:space="preserve"> (3.62.2)</w:t>
      </w:r>
      <w:r>
        <w:rPr>
          <w:rFonts w:ascii="Arial" w:hAnsi="Arial" w:cs="Arial"/>
          <w:color w:val="000000" w:themeColor="text1"/>
          <w:lang w:val="en-US"/>
        </w:rPr>
        <w:t xml:space="preserve"> was used to remove batch effects and identify differentially expressed genes (DEGs), with a </w:t>
      </w:r>
      <w:r>
        <w:rPr>
          <w:rFonts w:ascii="Arial" w:eastAsia="宋体" w:hAnsi="Arial" w:cs="Arial" w:hint="eastAsia"/>
          <w:color w:val="000000" w:themeColor="text1"/>
          <w:lang w:val="en-US"/>
        </w:rPr>
        <w:lastRenderedPageBreak/>
        <w:t>|</w:t>
      </w:r>
      <w:r>
        <w:rPr>
          <w:rFonts w:ascii="Arial" w:hAnsi="Arial" w:cs="Arial"/>
          <w:color w:val="000000" w:themeColor="text1"/>
          <w:lang w:val="en-US"/>
        </w:rPr>
        <w:t>log2FoldChange</w:t>
      </w:r>
      <w:r>
        <w:rPr>
          <w:rFonts w:ascii="Arial" w:eastAsia="宋体" w:hAnsi="Arial" w:cs="Arial" w:hint="eastAsia"/>
          <w:color w:val="000000" w:themeColor="text1"/>
          <w:lang w:val="en-US"/>
        </w:rPr>
        <w:t>|</w:t>
      </w:r>
      <w:r>
        <w:rPr>
          <w:rFonts w:ascii="Arial" w:hAnsi="Arial" w:cs="Arial"/>
          <w:color w:val="000000" w:themeColor="text1"/>
          <w:lang w:val="en-US"/>
        </w:rPr>
        <w:t xml:space="preserve"> &gt; </w:t>
      </w:r>
      <w:r w:rsidR="00175597">
        <w:rPr>
          <w:rFonts w:ascii="Arial" w:eastAsiaTheme="minorEastAsia" w:hAnsi="Arial" w:cs="Arial" w:hint="eastAsia"/>
          <w:color w:val="000000" w:themeColor="text1"/>
          <w:lang w:val="en-US"/>
        </w:rPr>
        <w:t>2</w:t>
      </w:r>
      <w:r>
        <w:rPr>
          <w:rFonts w:ascii="Arial" w:hAnsi="Arial" w:cs="Arial"/>
          <w:color w:val="000000" w:themeColor="text1"/>
          <w:lang w:val="en-US"/>
        </w:rPr>
        <w:t xml:space="preserve"> and </w:t>
      </w:r>
      <w:r>
        <w:rPr>
          <w:rFonts w:ascii="Arial" w:hAnsi="Arial" w:cs="Arial" w:hint="eastAsia"/>
          <w:color w:val="000000" w:themeColor="text1"/>
          <w:lang w:val="en-US"/>
        </w:rPr>
        <w:t>an</w:t>
      </w:r>
      <w:r>
        <w:rPr>
          <w:rFonts w:ascii="Arial" w:eastAsia="宋体" w:hAnsi="Arial" w:cs="Arial" w:hint="eastAsia"/>
          <w:color w:val="000000" w:themeColor="text1"/>
          <w:lang w:val="en-US"/>
        </w:rPr>
        <w:t xml:space="preserve"> </w:t>
      </w:r>
      <w:r>
        <w:rPr>
          <w:rFonts w:ascii="Arial" w:hAnsi="Arial" w:cs="Arial" w:hint="eastAsia"/>
          <w:color w:val="000000" w:themeColor="text1"/>
          <w:lang w:val="en-US"/>
        </w:rPr>
        <w:t xml:space="preserve">adjusted </w:t>
      </w:r>
      <w:r>
        <w:rPr>
          <w:rFonts w:ascii="Arial" w:hAnsi="Arial" w:cs="Arial" w:hint="eastAsia"/>
          <w:i/>
          <w:iCs/>
          <w:color w:val="000000" w:themeColor="text1"/>
          <w:lang w:val="en-US"/>
        </w:rPr>
        <w:t>P</w:t>
      </w:r>
      <w:r>
        <w:rPr>
          <w:rFonts w:ascii="Arial" w:hAnsi="Arial" w:cs="Arial" w:hint="eastAsia"/>
          <w:color w:val="000000" w:themeColor="text1"/>
          <w:lang w:val="en-US"/>
        </w:rPr>
        <w:t>-value</w:t>
      </w:r>
      <w:r>
        <w:rPr>
          <w:rFonts w:ascii="Arial" w:hAnsi="Arial" w:cs="Arial"/>
          <w:color w:val="000000" w:themeColor="text1"/>
          <w:lang w:val="en-US"/>
        </w:rPr>
        <w:t xml:space="preserve"> &lt; 0.05 considered statistically significant.</w:t>
      </w:r>
      <w:r>
        <w:rPr>
          <w:rFonts w:ascii="Arial" w:eastAsia="宋体" w:hAnsi="Arial" w:cs="Arial"/>
          <w:color w:val="000000" w:themeColor="text1"/>
          <w:lang w:val="en-US"/>
        </w:rPr>
        <w:t xml:space="preserve"> </w:t>
      </w:r>
      <w:r>
        <w:rPr>
          <w:rFonts w:ascii="Arial" w:hAnsi="Arial" w:cs="Arial"/>
          <w:color w:val="000000" w:themeColor="text1"/>
          <w:lang w:val="en-US"/>
        </w:rPr>
        <w:t xml:space="preserve">The </w:t>
      </w:r>
      <w:proofErr w:type="spellStart"/>
      <w:r>
        <w:rPr>
          <w:rFonts w:ascii="Arial" w:hAnsi="Arial" w:cs="Arial"/>
          <w:color w:val="000000" w:themeColor="text1"/>
          <w:lang w:val="en-US"/>
        </w:rPr>
        <w:t>ClusterProfiler</w:t>
      </w:r>
      <w:proofErr w:type="spellEnd"/>
      <w:r>
        <w:rPr>
          <w:rFonts w:ascii="Arial" w:hAnsi="Arial" w:cs="Arial"/>
          <w:color w:val="000000" w:themeColor="text1"/>
          <w:lang w:val="en-US"/>
        </w:rPr>
        <w:t xml:space="preserve"> package in R language was then used to conduct</w:t>
      </w:r>
      <w:r w:rsidR="00B940F5">
        <w:rPr>
          <w:rFonts w:ascii="Arial" w:eastAsiaTheme="minorEastAsia" w:hAnsi="Arial" w:cs="Arial" w:hint="eastAsia"/>
          <w:color w:val="000000" w:themeColor="text1"/>
          <w:lang w:val="en-US"/>
        </w:rPr>
        <w:t xml:space="preserve"> </w:t>
      </w:r>
      <w:r w:rsidR="00B940F5" w:rsidRPr="00B940F5">
        <w:rPr>
          <w:rFonts w:ascii="Arial" w:eastAsiaTheme="minorEastAsia" w:hAnsi="Arial" w:cs="Arial"/>
          <w:color w:val="000000" w:themeColor="text1"/>
          <w:lang w:val="en-US"/>
        </w:rPr>
        <w:t>GO and KEGG enrichment analyses</w:t>
      </w:r>
      <w:r>
        <w:rPr>
          <w:rFonts w:ascii="Arial" w:hAnsi="Arial" w:cs="Arial"/>
          <w:color w:val="000000" w:themeColor="text1"/>
          <w:lang w:val="en-US"/>
        </w:rPr>
        <w:t xml:space="preserve">. </w:t>
      </w:r>
      <w:r>
        <w:rPr>
          <w:rFonts w:ascii="Arial" w:hAnsi="Arial" w:cs="Arial" w:hint="eastAsia"/>
          <w:color w:val="000000" w:themeColor="text1"/>
          <w:lang w:val="en-US"/>
        </w:rPr>
        <w:t xml:space="preserve">The DEGs were annotated regarding </w:t>
      </w:r>
      <w:r>
        <w:rPr>
          <w:rFonts w:ascii="Arial" w:hAnsi="Arial" w:cs="Arial"/>
          <w:color w:val="000000" w:themeColor="text1"/>
          <w:lang w:val="en-US"/>
        </w:rPr>
        <w:t xml:space="preserve">biological processes (BP), cellular components (CC), and molecular functions (MF), and further analyzed the enriched pathways. </w:t>
      </w:r>
      <w:bookmarkStart w:id="6" w:name="OLE_LINK4"/>
      <w:bookmarkStart w:id="7" w:name="OLE_LINK3"/>
      <w:bookmarkStart w:id="8" w:name="OLE_LINK5"/>
      <w:bookmarkEnd w:id="5"/>
      <w:r>
        <w:rPr>
          <w:rFonts w:ascii="Arial" w:hAnsi="Arial" w:cs="Arial"/>
          <w:color w:val="000000" w:themeColor="text1"/>
          <w:lang w:val="en-US"/>
        </w:rPr>
        <w:t>Finally, we analyzed the protein-protein interaction (PPI) network and selected hub genes using STRING (</w:t>
      </w:r>
      <w:hyperlink r:id="rId6" w:tgtFrame="_new" w:history="1">
        <w:r w:rsidR="005C2DB5">
          <w:rPr>
            <w:rStyle w:val="aa"/>
            <w:rFonts w:ascii="Arial" w:hAnsi="Arial" w:cs="Arial"/>
            <w:color w:val="000000" w:themeColor="text1"/>
            <w:lang w:val="en-US"/>
          </w:rPr>
          <w:t>http://string-db.org</w:t>
        </w:r>
      </w:hyperlink>
      <w:r>
        <w:rPr>
          <w:rFonts w:ascii="Arial" w:hAnsi="Arial" w:cs="Arial"/>
          <w:color w:val="000000" w:themeColor="text1"/>
          <w:lang w:val="en-US"/>
        </w:rPr>
        <w:t xml:space="preserve">) and </w:t>
      </w:r>
      <w:proofErr w:type="spellStart"/>
      <w:r>
        <w:rPr>
          <w:rFonts w:ascii="Arial" w:hAnsi="Arial" w:cs="Arial"/>
          <w:color w:val="000000" w:themeColor="text1"/>
          <w:lang w:val="en-US"/>
        </w:rPr>
        <w:t>Cytoscape</w:t>
      </w:r>
      <w:proofErr w:type="spellEnd"/>
      <w:r>
        <w:rPr>
          <w:rFonts w:ascii="Arial" w:hAnsi="Arial" w:cs="Arial"/>
          <w:color w:val="000000" w:themeColor="text1"/>
          <w:lang w:val="en-US"/>
        </w:rPr>
        <w:t xml:space="preserve"> (v3.7.1). </w:t>
      </w:r>
      <w:r w:rsidR="00EF1D37">
        <w:rPr>
          <w:rFonts w:ascii="Arial" w:eastAsiaTheme="minorEastAsia" w:hAnsi="Arial" w:cs="Arial" w:hint="eastAsia"/>
          <w:color w:val="000000" w:themeColor="text1"/>
          <w:lang w:val="en-US"/>
        </w:rPr>
        <w:t>GO</w:t>
      </w:r>
      <w:r>
        <w:rPr>
          <w:rFonts w:ascii="Arial" w:hAnsi="Arial" w:cs="Arial"/>
          <w:color w:val="000000" w:themeColor="text1"/>
          <w:lang w:val="en-US"/>
        </w:rPr>
        <w:t xml:space="preserve"> and </w:t>
      </w:r>
      <w:r w:rsidR="00EF1D37">
        <w:rPr>
          <w:rFonts w:ascii="Arial" w:eastAsiaTheme="minorEastAsia" w:hAnsi="Arial" w:cs="Arial" w:hint="eastAsia"/>
          <w:color w:val="000000" w:themeColor="text1"/>
          <w:lang w:val="en-US"/>
        </w:rPr>
        <w:t>KEGG</w:t>
      </w:r>
      <w:r>
        <w:rPr>
          <w:rFonts w:ascii="Arial" w:hAnsi="Arial" w:cs="Arial"/>
          <w:color w:val="000000" w:themeColor="text1"/>
          <w:lang w:val="en-US"/>
        </w:rPr>
        <w:t xml:space="preserve"> analyses were performed on these hub genes.</w:t>
      </w:r>
    </w:p>
    <w:p w14:paraId="21F79BD0" w14:textId="77777777" w:rsidR="005C2DB5" w:rsidRDefault="00000000">
      <w:pPr>
        <w:pStyle w:val="EndNoteBibliography"/>
        <w:spacing w:line="480" w:lineRule="auto"/>
        <w:rPr>
          <w:rFonts w:ascii="Arial" w:hAnsi="Arial" w:cs="Arial"/>
          <w:color w:val="000000" w:themeColor="text1"/>
          <w:sz w:val="24"/>
        </w:rPr>
      </w:pPr>
      <w:bookmarkStart w:id="9" w:name="OLE_LINK41"/>
      <w:bookmarkStart w:id="10" w:name="OLE_LINK58"/>
      <w:bookmarkStart w:id="11" w:name="OLE_LINK6"/>
      <w:bookmarkEnd w:id="6"/>
      <w:bookmarkEnd w:id="7"/>
      <w:bookmarkEnd w:id="8"/>
      <w:r>
        <w:rPr>
          <w:rFonts w:ascii="Arial" w:hAnsi="Arial" w:cs="Arial"/>
          <w:color w:val="000000" w:themeColor="text1"/>
          <w:sz w:val="24"/>
        </w:rPr>
        <w:t>Alcian blue</w:t>
      </w:r>
      <w:bookmarkEnd w:id="9"/>
      <w:r>
        <w:rPr>
          <w:rFonts w:ascii="Arial" w:hAnsi="Arial" w:cs="Arial" w:hint="eastAsia"/>
          <w:color w:val="000000" w:themeColor="text1"/>
          <w:sz w:val="24"/>
        </w:rPr>
        <w:t xml:space="preserve"> staining and </w:t>
      </w:r>
      <w:r>
        <w:rPr>
          <w:rFonts w:ascii="Arial" w:hAnsi="Arial" w:cs="Arial"/>
          <w:color w:val="000000" w:themeColor="text1"/>
          <w:sz w:val="24"/>
        </w:rPr>
        <w:t>Alizarin red staining</w:t>
      </w:r>
      <w:bookmarkEnd w:id="10"/>
    </w:p>
    <w:p w14:paraId="33212D37" w14:textId="4EA29246"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Cells were washed three times with PBS and then fixed with 4% paraformaldehyde for 30 minutes (min). For the </w:t>
      </w:r>
      <w:r>
        <w:rPr>
          <w:rFonts w:ascii="Arial" w:hAnsi="Arial" w:cs="Arial" w:hint="eastAsia"/>
          <w:color w:val="000000" w:themeColor="text1"/>
          <w:sz w:val="24"/>
        </w:rPr>
        <w:t>a</w:t>
      </w:r>
      <w:r>
        <w:rPr>
          <w:rFonts w:ascii="Arial" w:hAnsi="Arial" w:cs="Arial"/>
          <w:color w:val="000000" w:themeColor="text1"/>
          <w:sz w:val="24"/>
        </w:rPr>
        <w:t xml:space="preserve">lcian </w:t>
      </w:r>
      <w:r>
        <w:rPr>
          <w:rFonts w:ascii="Arial" w:hAnsi="Arial" w:cs="Arial" w:hint="eastAsia"/>
          <w:color w:val="000000" w:themeColor="text1"/>
          <w:sz w:val="24"/>
        </w:rPr>
        <w:t>b</w:t>
      </w:r>
      <w:r>
        <w:rPr>
          <w:rFonts w:ascii="Arial" w:hAnsi="Arial" w:cs="Arial"/>
          <w:color w:val="000000" w:themeColor="text1"/>
          <w:sz w:val="24"/>
        </w:rPr>
        <w:t>lue staining</w:t>
      </w:r>
      <w:r>
        <w:rPr>
          <w:rFonts w:ascii="Arial" w:hAnsi="Arial" w:cs="Arial" w:hint="eastAsia"/>
          <w:color w:val="000000" w:themeColor="text1"/>
          <w:sz w:val="24"/>
        </w:rPr>
        <w:t>, t</w:t>
      </w:r>
      <w:r>
        <w:rPr>
          <w:rFonts w:ascii="Arial" w:hAnsi="Arial" w:cs="Arial"/>
          <w:color w:val="000000" w:themeColor="text1"/>
          <w:sz w:val="24"/>
        </w:rPr>
        <w:t xml:space="preserve">he </w:t>
      </w:r>
      <w:r>
        <w:rPr>
          <w:rFonts w:ascii="Arial" w:hAnsi="Arial" w:cs="Arial" w:hint="eastAsia"/>
          <w:color w:val="000000" w:themeColor="text1"/>
          <w:sz w:val="24"/>
        </w:rPr>
        <w:t>cells</w:t>
      </w:r>
      <w:r>
        <w:rPr>
          <w:rFonts w:ascii="Arial" w:hAnsi="Arial" w:cs="Arial"/>
          <w:color w:val="000000" w:themeColor="text1"/>
          <w:sz w:val="24"/>
        </w:rPr>
        <w:t xml:space="preserve"> were </w:t>
      </w:r>
      <w:r>
        <w:rPr>
          <w:rFonts w:ascii="Arial" w:hAnsi="Arial" w:cs="Arial" w:hint="eastAsia"/>
          <w:color w:val="000000" w:themeColor="text1"/>
          <w:sz w:val="24"/>
        </w:rPr>
        <w:t>incubated</w:t>
      </w:r>
      <w:r>
        <w:rPr>
          <w:rFonts w:ascii="Arial" w:hAnsi="Arial" w:cs="Arial"/>
          <w:color w:val="000000" w:themeColor="text1"/>
          <w:sz w:val="24"/>
        </w:rPr>
        <w:t xml:space="preserve"> with </w:t>
      </w:r>
      <w:r>
        <w:rPr>
          <w:rFonts w:ascii="Arial" w:hAnsi="Arial" w:cs="Arial" w:hint="eastAsia"/>
          <w:color w:val="000000" w:themeColor="text1"/>
          <w:sz w:val="24"/>
        </w:rPr>
        <w:t>a</w:t>
      </w:r>
      <w:r>
        <w:rPr>
          <w:rFonts w:ascii="Arial" w:hAnsi="Arial" w:cs="Arial"/>
          <w:color w:val="000000" w:themeColor="text1"/>
          <w:sz w:val="24"/>
        </w:rPr>
        <w:t xml:space="preserve">lcian acidifying solution for 3 min, followed by staining with 1% </w:t>
      </w:r>
      <w:r w:rsidR="00B940F5">
        <w:rPr>
          <w:rFonts w:ascii="Arial" w:hAnsi="Arial" w:cs="Arial" w:hint="eastAsia"/>
          <w:color w:val="000000" w:themeColor="text1"/>
          <w:sz w:val="24"/>
        </w:rPr>
        <w:t>a</w:t>
      </w:r>
      <w:r>
        <w:rPr>
          <w:rFonts w:ascii="Arial" w:hAnsi="Arial" w:cs="Arial"/>
          <w:color w:val="000000" w:themeColor="text1"/>
          <w:sz w:val="24"/>
        </w:rPr>
        <w:t xml:space="preserve">lcian staining solution at pH </w:t>
      </w:r>
      <w:r>
        <w:rPr>
          <w:rFonts w:ascii="Arial" w:hAnsi="Arial" w:cs="Arial" w:hint="eastAsia"/>
          <w:color w:val="000000" w:themeColor="text1"/>
          <w:sz w:val="24"/>
        </w:rPr>
        <w:t xml:space="preserve">2.5 </w:t>
      </w:r>
      <w:r>
        <w:rPr>
          <w:rFonts w:ascii="Arial" w:eastAsia="宋体" w:hAnsi="Arial" w:cs="Arial"/>
          <w:color w:val="000000" w:themeColor="text1"/>
          <w:sz w:val="24"/>
        </w:rPr>
        <w:t>(</w:t>
      </w:r>
      <w:proofErr w:type="spellStart"/>
      <w:r>
        <w:rPr>
          <w:rFonts w:ascii="Arial" w:eastAsia="宋体" w:hAnsi="Arial" w:cs="Arial"/>
          <w:color w:val="000000" w:themeColor="text1"/>
          <w:sz w:val="24"/>
        </w:rPr>
        <w:t>Solarbio</w:t>
      </w:r>
      <w:proofErr w:type="spellEnd"/>
      <w:r>
        <w:rPr>
          <w:rFonts w:ascii="Arial" w:eastAsia="宋体" w:hAnsi="Arial" w:cs="Arial"/>
          <w:color w:val="000000" w:themeColor="text1"/>
          <w:sz w:val="24"/>
        </w:rPr>
        <w:t>, China)</w:t>
      </w:r>
      <w:r>
        <w:rPr>
          <w:rFonts w:ascii="Arial" w:hAnsi="Arial" w:cs="Arial"/>
          <w:color w:val="000000" w:themeColor="text1"/>
          <w:sz w:val="24"/>
        </w:rPr>
        <w:t xml:space="preserve"> for 30 min.</w:t>
      </w:r>
      <w:r>
        <w:rPr>
          <w:rFonts w:ascii="Arial" w:hAnsi="Arial" w:cs="Arial" w:hint="eastAsia"/>
          <w:color w:val="000000" w:themeColor="text1"/>
          <w:sz w:val="24"/>
        </w:rPr>
        <w:t xml:space="preserve"> For the </w:t>
      </w:r>
      <w:r w:rsidR="00B940F5">
        <w:rPr>
          <w:rFonts w:ascii="Arial" w:hAnsi="Arial" w:cs="Arial" w:hint="eastAsia"/>
          <w:color w:val="000000" w:themeColor="text1"/>
          <w:sz w:val="24"/>
        </w:rPr>
        <w:t>a</w:t>
      </w:r>
      <w:r>
        <w:rPr>
          <w:rFonts w:ascii="Arial" w:hAnsi="Arial" w:cs="Arial" w:hint="eastAsia"/>
          <w:color w:val="000000" w:themeColor="text1"/>
          <w:sz w:val="24"/>
        </w:rPr>
        <w:t xml:space="preserve">lizarin </w:t>
      </w:r>
      <w:r w:rsidR="00B940F5">
        <w:rPr>
          <w:rFonts w:ascii="Arial" w:hAnsi="Arial" w:cs="Arial" w:hint="eastAsia"/>
          <w:color w:val="000000" w:themeColor="text1"/>
          <w:sz w:val="24"/>
        </w:rPr>
        <w:t>r</w:t>
      </w:r>
      <w:r>
        <w:rPr>
          <w:rFonts w:ascii="Arial" w:hAnsi="Arial" w:cs="Arial" w:hint="eastAsia"/>
          <w:color w:val="000000" w:themeColor="text1"/>
          <w:sz w:val="24"/>
        </w:rPr>
        <w:t>ed staining,</w:t>
      </w:r>
      <w:r>
        <w:rPr>
          <w:rFonts w:ascii="Arial" w:hAnsi="Arial" w:cs="Arial"/>
          <w:color w:val="000000" w:themeColor="text1"/>
          <w:sz w:val="24"/>
        </w:rPr>
        <w:t xml:space="preserve"> </w:t>
      </w:r>
      <w:r>
        <w:rPr>
          <w:rFonts w:ascii="Arial" w:hAnsi="Arial" w:cs="Arial" w:hint="eastAsia"/>
          <w:color w:val="000000" w:themeColor="text1"/>
          <w:sz w:val="24"/>
        </w:rPr>
        <w:t>t</w:t>
      </w:r>
      <w:r>
        <w:rPr>
          <w:rFonts w:ascii="Arial" w:hAnsi="Arial" w:cs="Arial"/>
          <w:color w:val="000000" w:themeColor="text1"/>
          <w:sz w:val="24"/>
        </w:rPr>
        <w:t xml:space="preserve">he cells were stained with 1% </w:t>
      </w:r>
      <w:r>
        <w:rPr>
          <w:rFonts w:ascii="Arial" w:hAnsi="Arial" w:cs="Arial" w:hint="eastAsia"/>
          <w:color w:val="000000" w:themeColor="text1"/>
          <w:sz w:val="24"/>
        </w:rPr>
        <w:t>a</w:t>
      </w:r>
      <w:r>
        <w:rPr>
          <w:rFonts w:ascii="Arial" w:hAnsi="Arial" w:cs="Arial"/>
          <w:color w:val="000000" w:themeColor="text1"/>
          <w:sz w:val="24"/>
        </w:rPr>
        <w:t xml:space="preserve">lizarin </w:t>
      </w:r>
      <w:r>
        <w:rPr>
          <w:rFonts w:ascii="Arial" w:hAnsi="Arial" w:cs="Arial" w:hint="eastAsia"/>
          <w:color w:val="000000" w:themeColor="text1"/>
          <w:sz w:val="24"/>
        </w:rPr>
        <w:t>r</w:t>
      </w:r>
      <w:r>
        <w:rPr>
          <w:rFonts w:ascii="Arial" w:hAnsi="Arial" w:cs="Arial"/>
          <w:color w:val="000000" w:themeColor="text1"/>
          <w:sz w:val="24"/>
        </w:rPr>
        <w:t>ed S solution at pH 4.2</w:t>
      </w:r>
      <w:r>
        <w:rPr>
          <w:rFonts w:ascii="Arial" w:hAnsi="Arial" w:cs="Arial" w:hint="eastAsia"/>
          <w:color w:val="000000" w:themeColor="text1"/>
          <w:sz w:val="24"/>
        </w:rPr>
        <w:t xml:space="preserve"> </w:t>
      </w:r>
      <w:r>
        <w:rPr>
          <w:rFonts w:ascii="Arial" w:eastAsia="宋体" w:hAnsi="Arial" w:cs="Arial"/>
          <w:color w:val="000000" w:themeColor="text1"/>
          <w:sz w:val="24"/>
        </w:rPr>
        <w:t>(</w:t>
      </w:r>
      <w:proofErr w:type="spellStart"/>
      <w:r>
        <w:rPr>
          <w:rFonts w:ascii="Arial" w:eastAsia="宋体" w:hAnsi="Arial" w:cs="Arial"/>
          <w:color w:val="000000" w:themeColor="text1"/>
          <w:sz w:val="24"/>
        </w:rPr>
        <w:t>Solarbio</w:t>
      </w:r>
      <w:proofErr w:type="spellEnd"/>
      <w:r>
        <w:rPr>
          <w:rFonts w:ascii="Arial" w:eastAsia="宋体" w:hAnsi="Arial" w:cs="Arial"/>
          <w:color w:val="000000" w:themeColor="text1"/>
          <w:sz w:val="24"/>
        </w:rPr>
        <w:t>, China)</w:t>
      </w:r>
      <w:r>
        <w:rPr>
          <w:rFonts w:ascii="Arial" w:hAnsi="Arial" w:cs="Arial"/>
          <w:color w:val="000000" w:themeColor="text1"/>
          <w:sz w:val="24"/>
        </w:rPr>
        <w:t xml:space="preserve"> for 5 to 10 min.</w:t>
      </w:r>
      <w:r>
        <w:rPr>
          <w:rFonts w:ascii="Arial" w:hAnsi="Arial" w:cs="Arial" w:hint="eastAsia"/>
          <w:color w:val="000000" w:themeColor="text1"/>
          <w:sz w:val="24"/>
        </w:rPr>
        <w:t xml:space="preserve"> </w:t>
      </w:r>
      <w:r>
        <w:rPr>
          <w:rFonts w:ascii="Arial" w:hAnsi="Arial" w:cs="Arial"/>
          <w:color w:val="000000" w:themeColor="text1"/>
          <w:sz w:val="24"/>
        </w:rPr>
        <w:t xml:space="preserve">After washing off the excess dye, the stained cells were observed under </w:t>
      </w:r>
      <w:r>
        <w:rPr>
          <w:rFonts w:ascii="Arial" w:hAnsi="Arial" w:cs="Arial" w:hint="eastAsia"/>
          <w:color w:val="000000" w:themeColor="text1"/>
          <w:sz w:val="24"/>
        </w:rPr>
        <w:t xml:space="preserve">a </w:t>
      </w:r>
      <w:r>
        <w:rPr>
          <w:rFonts w:ascii="Arial" w:hAnsi="Arial" w:cs="Arial"/>
          <w:color w:val="000000" w:themeColor="text1"/>
          <w:sz w:val="24"/>
        </w:rPr>
        <w:t>microscope to verify the differentiation results.</w:t>
      </w:r>
    </w:p>
    <w:bookmarkEnd w:id="11"/>
    <w:p w14:paraId="1AD068BB"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RNA extraction and real-time quantitative PCR (RT-qPCR)</w:t>
      </w:r>
    </w:p>
    <w:p w14:paraId="484E87EE" w14:textId="1B7DE95D" w:rsidR="005C2DB5" w:rsidRDefault="00000000">
      <w:pPr>
        <w:pStyle w:val="a6"/>
        <w:spacing w:beforeAutospacing="0" w:afterAutospacing="0" w:line="480" w:lineRule="auto"/>
        <w:jc w:val="both"/>
        <w:rPr>
          <w:rFonts w:ascii="Arial" w:hAnsi="Arial" w:cs="Arial"/>
          <w:color w:val="000000" w:themeColor="text1"/>
          <w:lang w:val="en-US"/>
        </w:rPr>
      </w:pPr>
      <w:r>
        <w:rPr>
          <w:rFonts w:ascii="Arial" w:hAnsi="Arial" w:cs="Arial"/>
          <w:color w:val="000000" w:themeColor="text1"/>
          <w:lang w:val="en-US"/>
        </w:rPr>
        <w:t xml:space="preserve">Total RNA from cells and tissues was extracted using the </w:t>
      </w:r>
      <w:proofErr w:type="spellStart"/>
      <w:r>
        <w:rPr>
          <w:rFonts w:ascii="Arial" w:hAnsi="Arial" w:cs="Arial"/>
          <w:color w:val="000000" w:themeColor="text1"/>
          <w:lang w:val="en-US"/>
        </w:rPr>
        <w:t>Trizol</w:t>
      </w:r>
      <w:proofErr w:type="spellEnd"/>
      <w:r>
        <w:rPr>
          <w:rFonts w:ascii="Arial" w:hAnsi="Arial" w:cs="Arial"/>
          <w:color w:val="000000" w:themeColor="text1"/>
          <w:lang w:val="en-US"/>
        </w:rPr>
        <w:t xml:space="preserve"> method</w:t>
      </w:r>
      <w:r>
        <w:rPr>
          <w:rFonts w:ascii="Arial" w:eastAsia="宋体" w:hAnsi="Arial" w:cs="Arial" w:hint="eastAsia"/>
          <w:color w:val="000000" w:themeColor="text1"/>
          <w:lang w:val="en-US"/>
        </w:rPr>
        <w:t xml:space="preserve"> </w:t>
      </w:r>
      <w:r>
        <w:rPr>
          <w:rFonts w:ascii="Arial" w:hAnsi="Arial" w:cs="Arial"/>
          <w:color w:val="000000" w:themeColor="text1"/>
          <w:lang w:val="en-US"/>
        </w:rPr>
        <w:t>(</w:t>
      </w:r>
      <w:proofErr w:type="spellStart"/>
      <w:r>
        <w:rPr>
          <w:rFonts w:ascii="Arial" w:hAnsi="Arial" w:cs="Arial"/>
          <w:color w:val="000000" w:themeColor="text1"/>
          <w:lang w:val="en-US"/>
        </w:rPr>
        <w:t>Thermo</w:t>
      </w:r>
      <w:proofErr w:type="spellEnd"/>
      <w:r>
        <w:rPr>
          <w:rFonts w:ascii="Arial" w:hAnsi="Arial" w:cs="Arial"/>
          <w:color w:val="000000" w:themeColor="text1"/>
          <w:lang w:val="en-US"/>
        </w:rPr>
        <w:t xml:space="preserve"> Fisher Scientific, USA). cDNA synthesis was performed using the 5×All-in-one </w:t>
      </w:r>
      <w:proofErr w:type="spellStart"/>
      <w:r>
        <w:rPr>
          <w:rFonts w:ascii="Arial" w:hAnsi="Arial" w:cs="Arial"/>
          <w:color w:val="000000" w:themeColor="text1"/>
          <w:lang w:val="en-US"/>
        </w:rPr>
        <w:t>qRT</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SuperMix</w:t>
      </w:r>
      <w:proofErr w:type="spellEnd"/>
      <w:r>
        <w:rPr>
          <w:rFonts w:ascii="Arial" w:hAnsi="Arial" w:cs="Arial"/>
          <w:color w:val="000000" w:themeColor="text1"/>
          <w:lang w:val="en-US"/>
        </w:rPr>
        <w:t xml:space="preserve"> and Enzyme Mix (</w:t>
      </w:r>
      <w:proofErr w:type="spellStart"/>
      <w:r>
        <w:rPr>
          <w:rFonts w:ascii="Arial" w:hAnsi="Arial" w:cs="Arial"/>
          <w:color w:val="000000" w:themeColor="text1"/>
          <w:lang w:val="en-US"/>
        </w:rPr>
        <w:t>Vazyme</w:t>
      </w:r>
      <w:proofErr w:type="spellEnd"/>
      <w:r>
        <w:rPr>
          <w:rFonts w:ascii="Arial" w:hAnsi="Arial" w:cs="Arial"/>
          <w:color w:val="000000" w:themeColor="text1"/>
          <w:lang w:val="en-US"/>
        </w:rPr>
        <w:t xml:space="preserve">, China).  RT-qPCR was conducted to detect RNA expression using the 2×Taq Pro Universal SYBR </w:t>
      </w:r>
      <w:r>
        <w:rPr>
          <w:rFonts w:ascii="Arial" w:hAnsi="Arial" w:cs="Arial"/>
          <w:color w:val="000000" w:themeColor="text1"/>
          <w:lang w:val="en-US"/>
        </w:rPr>
        <w:lastRenderedPageBreak/>
        <w:t>qPCR Master Mix (</w:t>
      </w:r>
      <w:proofErr w:type="spellStart"/>
      <w:r>
        <w:rPr>
          <w:rFonts w:ascii="Arial" w:hAnsi="Arial" w:cs="Arial"/>
          <w:color w:val="000000" w:themeColor="text1"/>
          <w:lang w:val="en-US"/>
        </w:rPr>
        <w:t>Vazyme</w:t>
      </w:r>
      <w:proofErr w:type="spellEnd"/>
      <w:r>
        <w:rPr>
          <w:rFonts w:ascii="Arial" w:hAnsi="Arial" w:cs="Arial"/>
          <w:color w:val="000000" w:themeColor="text1"/>
          <w:lang w:val="en-US"/>
        </w:rPr>
        <w:t>, China). Relative gene expression levels were quantified using the 2</w:t>
      </w:r>
      <w:r>
        <w:rPr>
          <w:rFonts w:ascii="Arial" w:eastAsia="宋体" w:hAnsi="Arial" w:cs="Arial" w:hint="eastAsia"/>
          <w:color w:val="000000" w:themeColor="text1"/>
          <w:vertAlign w:val="superscript"/>
          <w:lang w:val="en-US"/>
        </w:rPr>
        <w:t>(</w:t>
      </w:r>
      <w:r>
        <w:rPr>
          <w:rFonts w:ascii="Arial" w:hAnsi="Arial" w:cs="Arial"/>
          <w:color w:val="000000" w:themeColor="text1"/>
          <w:vertAlign w:val="superscript"/>
          <w:lang w:val="en-US"/>
        </w:rPr>
        <w:t>–</w:t>
      </w:r>
      <w:r>
        <w:rPr>
          <w:rFonts w:ascii="Arial" w:hAnsi="Arial" w:cs="Arial"/>
          <w:color w:val="000000" w:themeColor="text1"/>
          <w:vertAlign w:val="superscript"/>
        </w:rPr>
        <w:t>ΔΔ</w:t>
      </w:r>
      <w:r>
        <w:rPr>
          <w:rFonts w:ascii="Arial" w:hAnsi="Arial" w:cs="Arial"/>
          <w:color w:val="000000" w:themeColor="text1"/>
          <w:vertAlign w:val="superscript"/>
          <w:lang w:val="en-US"/>
        </w:rPr>
        <w:t>Ct</w:t>
      </w:r>
      <w:r>
        <w:rPr>
          <w:rFonts w:ascii="Arial" w:eastAsia="宋体" w:hAnsi="Arial" w:cs="Arial" w:hint="eastAsia"/>
          <w:color w:val="000000" w:themeColor="text1"/>
          <w:vertAlign w:val="superscript"/>
          <w:lang w:val="en-US"/>
        </w:rPr>
        <w:t>)</w:t>
      </w:r>
      <w:r>
        <w:rPr>
          <w:rFonts w:ascii="Arial" w:hAnsi="Arial" w:cs="Arial"/>
          <w:color w:val="000000" w:themeColor="text1"/>
          <w:lang w:val="en-US"/>
        </w:rPr>
        <w:t xml:space="preserve"> method, with GAPDH serving as the reference gene. The primers used for RT-qPCR are listed in </w:t>
      </w:r>
      <w:bookmarkStart w:id="12" w:name="_Hlk211528529"/>
      <w:r w:rsidR="00AD3FA6">
        <w:rPr>
          <w:rFonts w:ascii="Arial" w:eastAsiaTheme="minorEastAsia" w:hAnsi="Arial" w:cs="Arial" w:hint="eastAsia"/>
          <w:color w:val="000000" w:themeColor="text1"/>
          <w:lang w:val="en-US"/>
        </w:rPr>
        <w:t>Supplementary</w:t>
      </w:r>
      <w:bookmarkEnd w:id="12"/>
      <w:r w:rsidR="00AD3FA6">
        <w:rPr>
          <w:rFonts w:ascii="Arial" w:eastAsiaTheme="minorEastAsia" w:hAnsi="Arial" w:cs="Arial" w:hint="eastAsia"/>
          <w:color w:val="000000" w:themeColor="text1"/>
          <w:lang w:val="en-US"/>
        </w:rPr>
        <w:t xml:space="preserve"> </w:t>
      </w:r>
      <w:r>
        <w:rPr>
          <w:rFonts w:ascii="Arial" w:hAnsi="Arial" w:cs="Arial"/>
          <w:color w:val="000000" w:themeColor="text1"/>
          <w:lang w:val="en-US"/>
        </w:rPr>
        <w:t>Table 1.</w:t>
      </w:r>
    </w:p>
    <w:p w14:paraId="07C17F92" w14:textId="4CDC8ABA" w:rsidR="005C2DB5" w:rsidRDefault="00AD3FA6">
      <w:pPr>
        <w:pStyle w:val="a6"/>
        <w:spacing w:before="0" w:beforeAutospacing="0" w:after="0" w:afterAutospacing="0" w:line="480" w:lineRule="auto"/>
        <w:jc w:val="both"/>
        <w:rPr>
          <w:rFonts w:ascii="Arial" w:eastAsia="宋体" w:hAnsi="Arial" w:cs="Arial"/>
          <w:color w:val="000000" w:themeColor="text1"/>
          <w:lang w:val="en-US"/>
        </w:rPr>
      </w:pPr>
      <w:r>
        <w:rPr>
          <w:rFonts w:ascii="Arial" w:eastAsiaTheme="minorEastAsia" w:hAnsi="Arial" w:cs="Arial" w:hint="eastAsia"/>
          <w:color w:val="000000" w:themeColor="text1"/>
          <w:lang w:val="en-US"/>
        </w:rPr>
        <w:t>Supplementary</w:t>
      </w:r>
      <w:r>
        <w:rPr>
          <w:rFonts w:ascii="Arial" w:hAnsi="Arial" w:cs="Arial"/>
          <w:color w:val="000000" w:themeColor="text1"/>
        </w:rPr>
        <w:t xml:space="preserve"> Table 1.</w:t>
      </w:r>
      <w:r>
        <w:rPr>
          <w:rFonts w:ascii="Arial" w:eastAsia="宋体" w:hAnsi="Arial" w:cs="Arial" w:hint="eastAsia"/>
          <w:color w:val="000000" w:themeColor="text1"/>
          <w:lang w:val="en-US"/>
        </w:rPr>
        <w:t xml:space="preserve"> RT-qPCR primers</w:t>
      </w:r>
    </w:p>
    <w:tbl>
      <w:tblPr>
        <w:tblStyle w:val="a7"/>
        <w:tblW w:w="0" w:type="auto"/>
        <w:tblLook w:val="04A0" w:firstRow="1" w:lastRow="0" w:firstColumn="1" w:lastColumn="0" w:noHBand="0" w:noVBand="1"/>
      </w:tblPr>
      <w:tblGrid>
        <w:gridCol w:w="4062"/>
        <w:gridCol w:w="4244"/>
      </w:tblGrid>
      <w:tr w:rsidR="005C2DB5" w14:paraId="38C66586" w14:textId="77777777">
        <w:tc>
          <w:tcPr>
            <w:tcW w:w="4261" w:type="dxa"/>
            <w:tcBorders>
              <w:top w:val="single" w:sz="12" w:space="0" w:color="000000"/>
              <w:left w:val="nil"/>
              <w:bottom w:val="single" w:sz="4" w:space="0" w:color="000000"/>
              <w:right w:val="nil"/>
              <w:tl2br w:val="nil"/>
            </w:tcBorders>
            <w:shd w:val="clear" w:color="auto" w:fill="FFFFFF"/>
            <w:vAlign w:val="center"/>
          </w:tcPr>
          <w:p w14:paraId="2547A9CE"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Primer</w:t>
            </w:r>
          </w:p>
        </w:tc>
        <w:tc>
          <w:tcPr>
            <w:tcW w:w="4261" w:type="dxa"/>
            <w:tcBorders>
              <w:top w:val="single" w:sz="12" w:space="0" w:color="000000"/>
              <w:left w:val="nil"/>
              <w:bottom w:val="single" w:sz="4" w:space="0" w:color="000000"/>
              <w:right w:val="nil"/>
            </w:tcBorders>
            <w:shd w:val="clear" w:color="auto" w:fill="FFFFFF"/>
            <w:vAlign w:val="center"/>
          </w:tcPr>
          <w:p w14:paraId="494A0C4B" w14:textId="77777777" w:rsidR="005C2DB5" w:rsidRDefault="00000000">
            <w:pPr>
              <w:pStyle w:val="EndNoteBibliography"/>
              <w:spacing w:line="480" w:lineRule="auto"/>
              <w:rPr>
                <w:rFonts w:ascii="Arial" w:hAnsi="Arial" w:cs="Arial"/>
                <w:color w:val="000000" w:themeColor="text1"/>
                <w:sz w:val="24"/>
              </w:rPr>
            </w:pPr>
            <w:r>
              <w:rPr>
                <w:rFonts w:ascii="Arial" w:eastAsia="宋体" w:hAnsi="Arial" w:cs="Arial"/>
                <w:color w:val="000000" w:themeColor="text1"/>
                <w:sz w:val="24"/>
              </w:rPr>
              <w:t>Sequence</w:t>
            </w:r>
          </w:p>
        </w:tc>
      </w:tr>
      <w:tr w:rsidR="005C2DB5" w14:paraId="0A23F655" w14:textId="77777777">
        <w:tc>
          <w:tcPr>
            <w:tcW w:w="4261" w:type="dxa"/>
            <w:tcBorders>
              <w:top w:val="single" w:sz="4" w:space="0" w:color="000000"/>
              <w:left w:val="nil"/>
              <w:bottom w:val="nil"/>
              <w:right w:val="nil"/>
            </w:tcBorders>
            <w:shd w:val="clear" w:color="auto" w:fill="FFFFFF"/>
            <w:vAlign w:val="center"/>
          </w:tcPr>
          <w:p w14:paraId="2E319C13" w14:textId="77777777" w:rsidR="005C2DB5" w:rsidRDefault="00000000">
            <w:pPr>
              <w:pStyle w:val="EndNoteBibliography"/>
              <w:spacing w:line="480" w:lineRule="auto"/>
              <w:rPr>
                <w:rFonts w:ascii="Arial" w:hAnsi="Arial" w:cs="Arial"/>
                <w:color w:val="000000" w:themeColor="text1"/>
                <w:sz w:val="24"/>
              </w:rPr>
            </w:pPr>
            <w:bookmarkStart w:id="13" w:name="OLE_LINK33"/>
            <w:r>
              <w:rPr>
                <w:rFonts w:ascii="Arial" w:hAnsi="Arial" w:cs="Arial"/>
                <w:color w:val="000000" w:themeColor="text1"/>
                <w:sz w:val="24"/>
              </w:rPr>
              <w:t>IL-6</w:t>
            </w:r>
            <w:bookmarkEnd w:id="13"/>
            <w:r>
              <w:rPr>
                <w:rFonts w:ascii="Arial" w:hAnsi="Arial" w:cs="Arial"/>
                <w:color w:val="000000" w:themeColor="text1"/>
                <w:sz w:val="24"/>
              </w:rPr>
              <w:t xml:space="preserve"> </w:t>
            </w:r>
            <w:bookmarkStart w:id="14" w:name="OLE_LINK34"/>
            <w:r>
              <w:rPr>
                <w:rFonts w:ascii="Arial" w:hAnsi="Arial" w:cs="Arial"/>
                <w:color w:val="000000" w:themeColor="text1"/>
                <w:sz w:val="24"/>
              </w:rPr>
              <w:t>Forward</w:t>
            </w:r>
            <w:bookmarkEnd w:id="14"/>
          </w:p>
        </w:tc>
        <w:tc>
          <w:tcPr>
            <w:tcW w:w="4261" w:type="dxa"/>
            <w:tcBorders>
              <w:top w:val="single" w:sz="4" w:space="0" w:color="000000"/>
              <w:left w:val="nil"/>
              <w:bottom w:val="nil"/>
              <w:right w:val="nil"/>
            </w:tcBorders>
            <w:shd w:val="clear" w:color="auto" w:fill="FFFFFF"/>
            <w:vAlign w:val="center"/>
          </w:tcPr>
          <w:p w14:paraId="403D48F0"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GTCCTTCCTACCCCAATTTCC</w:t>
            </w:r>
          </w:p>
        </w:tc>
      </w:tr>
      <w:tr w:rsidR="005C2DB5" w14:paraId="41784970" w14:textId="77777777">
        <w:tc>
          <w:tcPr>
            <w:tcW w:w="4261" w:type="dxa"/>
            <w:tcBorders>
              <w:top w:val="nil"/>
              <w:left w:val="nil"/>
              <w:bottom w:val="nil"/>
              <w:right w:val="nil"/>
            </w:tcBorders>
            <w:shd w:val="clear" w:color="auto" w:fill="FFFFFF"/>
            <w:vAlign w:val="center"/>
          </w:tcPr>
          <w:p w14:paraId="20ADD7DF"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IL-6</w:t>
            </w:r>
            <w:bookmarkStart w:id="15" w:name="OLE_LINK35"/>
            <w:r>
              <w:rPr>
                <w:rFonts w:ascii="Arial" w:hAnsi="Arial" w:cs="Arial"/>
                <w:color w:val="000000" w:themeColor="text1"/>
                <w:sz w:val="24"/>
              </w:rPr>
              <w:t xml:space="preserve"> </w:t>
            </w:r>
            <w:r>
              <w:rPr>
                <w:rFonts w:ascii="Arial" w:eastAsia="宋体" w:hAnsi="Arial" w:cs="Arial"/>
                <w:color w:val="000000" w:themeColor="text1"/>
                <w:sz w:val="24"/>
              </w:rPr>
              <w:t>Reverse</w:t>
            </w:r>
            <w:bookmarkEnd w:id="15"/>
          </w:p>
        </w:tc>
        <w:tc>
          <w:tcPr>
            <w:tcW w:w="4261" w:type="dxa"/>
            <w:tcBorders>
              <w:top w:val="nil"/>
              <w:left w:val="nil"/>
              <w:bottom w:val="nil"/>
              <w:right w:val="nil"/>
            </w:tcBorders>
            <w:shd w:val="clear" w:color="auto" w:fill="FFFFFF"/>
            <w:vAlign w:val="center"/>
          </w:tcPr>
          <w:p w14:paraId="483F5A4E"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GCACTAGGTTTGCCGAGTAGA</w:t>
            </w:r>
          </w:p>
        </w:tc>
      </w:tr>
      <w:tr w:rsidR="005C2DB5" w14:paraId="0964045F" w14:textId="77777777">
        <w:tc>
          <w:tcPr>
            <w:tcW w:w="4261" w:type="dxa"/>
            <w:tcBorders>
              <w:top w:val="nil"/>
              <w:left w:val="nil"/>
              <w:bottom w:val="nil"/>
              <w:right w:val="nil"/>
            </w:tcBorders>
            <w:shd w:val="clear" w:color="auto" w:fill="FFFFFF"/>
            <w:vAlign w:val="center"/>
          </w:tcPr>
          <w:p w14:paraId="3EA62521"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JAK1 Forward</w:t>
            </w:r>
          </w:p>
        </w:tc>
        <w:tc>
          <w:tcPr>
            <w:tcW w:w="4261" w:type="dxa"/>
            <w:tcBorders>
              <w:top w:val="nil"/>
              <w:left w:val="nil"/>
              <w:bottom w:val="nil"/>
              <w:right w:val="nil"/>
            </w:tcBorders>
            <w:shd w:val="clear" w:color="auto" w:fill="FFFFFF"/>
            <w:vAlign w:val="center"/>
          </w:tcPr>
          <w:p w14:paraId="06EB3BDB"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CTCTCTGTCACAACCTCTTCGC</w:t>
            </w:r>
          </w:p>
        </w:tc>
      </w:tr>
      <w:tr w:rsidR="005C2DB5" w14:paraId="7A2F53FA" w14:textId="77777777">
        <w:tc>
          <w:tcPr>
            <w:tcW w:w="4261" w:type="dxa"/>
            <w:tcBorders>
              <w:top w:val="nil"/>
              <w:left w:val="nil"/>
              <w:bottom w:val="nil"/>
              <w:right w:val="nil"/>
            </w:tcBorders>
            <w:shd w:val="clear" w:color="auto" w:fill="FFFFFF"/>
            <w:vAlign w:val="center"/>
          </w:tcPr>
          <w:p w14:paraId="5D0872BF"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JAK1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2826F91B"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TTGGTAAAGTAGAACCTCATGCG</w:t>
            </w:r>
          </w:p>
        </w:tc>
      </w:tr>
      <w:tr w:rsidR="005C2DB5" w14:paraId="1138AEAC" w14:textId="77777777">
        <w:tc>
          <w:tcPr>
            <w:tcW w:w="4261" w:type="dxa"/>
            <w:tcBorders>
              <w:top w:val="nil"/>
              <w:left w:val="nil"/>
              <w:bottom w:val="nil"/>
              <w:right w:val="nil"/>
            </w:tcBorders>
            <w:shd w:val="clear" w:color="auto" w:fill="FFFFFF"/>
            <w:vAlign w:val="center"/>
          </w:tcPr>
          <w:p w14:paraId="04B58F7E"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JAK2 Forward</w:t>
            </w:r>
          </w:p>
        </w:tc>
        <w:tc>
          <w:tcPr>
            <w:tcW w:w="4261" w:type="dxa"/>
            <w:tcBorders>
              <w:top w:val="nil"/>
              <w:left w:val="nil"/>
              <w:bottom w:val="nil"/>
              <w:right w:val="nil"/>
            </w:tcBorders>
            <w:shd w:val="clear" w:color="auto" w:fill="FFFFFF"/>
            <w:vAlign w:val="center"/>
          </w:tcPr>
          <w:p w14:paraId="444E7704"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TTGTGGTATTACGCCTGTGTATC</w:t>
            </w:r>
          </w:p>
        </w:tc>
      </w:tr>
      <w:tr w:rsidR="005C2DB5" w14:paraId="30C1CC14" w14:textId="77777777">
        <w:tc>
          <w:tcPr>
            <w:tcW w:w="4261" w:type="dxa"/>
            <w:tcBorders>
              <w:top w:val="nil"/>
              <w:left w:val="nil"/>
              <w:bottom w:val="nil"/>
              <w:right w:val="nil"/>
            </w:tcBorders>
            <w:shd w:val="clear" w:color="auto" w:fill="FFFFFF"/>
            <w:vAlign w:val="center"/>
          </w:tcPr>
          <w:p w14:paraId="4691A445"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JAK2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5C57D636"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ATGCCTGGTTGACTCGTCTAT</w:t>
            </w:r>
          </w:p>
        </w:tc>
      </w:tr>
      <w:tr w:rsidR="005C2DB5" w14:paraId="2057BE58" w14:textId="77777777">
        <w:tc>
          <w:tcPr>
            <w:tcW w:w="4261" w:type="dxa"/>
            <w:tcBorders>
              <w:top w:val="nil"/>
              <w:left w:val="nil"/>
              <w:bottom w:val="nil"/>
              <w:right w:val="nil"/>
            </w:tcBorders>
            <w:shd w:val="clear" w:color="auto" w:fill="FFFFFF"/>
            <w:vAlign w:val="center"/>
          </w:tcPr>
          <w:p w14:paraId="15BEFBC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STAT3 Forward</w:t>
            </w:r>
          </w:p>
        </w:tc>
        <w:tc>
          <w:tcPr>
            <w:tcW w:w="4261" w:type="dxa"/>
            <w:tcBorders>
              <w:top w:val="nil"/>
              <w:left w:val="nil"/>
              <w:bottom w:val="nil"/>
              <w:right w:val="nil"/>
            </w:tcBorders>
            <w:shd w:val="clear" w:color="auto" w:fill="FFFFFF"/>
            <w:vAlign w:val="center"/>
          </w:tcPr>
          <w:p w14:paraId="5ACDB2F8"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CAGCAGCTTGACACACGGTA</w:t>
            </w:r>
          </w:p>
        </w:tc>
      </w:tr>
      <w:tr w:rsidR="005C2DB5" w14:paraId="5A0BF5AC" w14:textId="77777777">
        <w:tc>
          <w:tcPr>
            <w:tcW w:w="4261" w:type="dxa"/>
            <w:tcBorders>
              <w:top w:val="nil"/>
              <w:left w:val="nil"/>
              <w:bottom w:val="nil"/>
              <w:right w:val="nil"/>
            </w:tcBorders>
            <w:shd w:val="clear" w:color="auto" w:fill="FFFFFF"/>
            <w:vAlign w:val="center"/>
          </w:tcPr>
          <w:p w14:paraId="612DFF2C"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STAT3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3CA32695"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AAACACCAAAGTGGCATGTGA</w:t>
            </w:r>
          </w:p>
        </w:tc>
      </w:tr>
      <w:tr w:rsidR="005C2DB5" w14:paraId="2DA0966A" w14:textId="77777777">
        <w:tc>
          <w:tcPr>
            <w:tcW w:w="4261" w:type="dxa"/>
            <w:tcBorders>
              <w:top w:val="nil"/>
              <w:left w:val="nil"/>
              <w:bottom w:val="nil"/>
              <w:right w:val="nil"/>
            </w:tcBorders>
            <w:shd w:val="clear" w:color="auto" w:fill="FFFFFF"/>
            <w:vAlign w:val="center"/>
          </w:tcPr>
          <w:p w14:paraId="17DCB5A2"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MMP13 Forward</w:t>
            </w:r>
          </w:p>
        </w:tc>
        <w:tc>
          <w:tcPr>
            <w:tcW w:w="4261" w:type="dxa"/>
            <w:tcBorders>
              <w:top w:val="nil"/>
              <w:left w:val="nil"/>
              <w:bottom w:val="nil"/>
              <w:right w:val="nil"/>
            </w:tcBorders>
            <w:shd w:val="clear" w:color="auto" w:fill="FFFFFF"/>
            <w:vAlign w:val="center"/>
          </w:tcPr>
          <w:p w14:paraId="0930BBC8"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TGTTTGCAGAGCACTACTTGAA</w:t>
            </w:r>
          </w:p>
        </w:tc>
      </w:tr>
      <w:tr w:rsidR="005C2DB5" w14:paraId="58C1167D" w14:textId="77777777">
        <w:tc>
          <w:tcPr>
            <w:tcW w:w="4261" w:type="dxa"/>
            <w:tcBorders>
              <w:top w:val="nil"/>
              <w:left w:val="nil"/>
              <w:bottom w:val="nil"/>
              <w:right w:val="nil"/>
            </w:tcBorders>
            <w:shd w:val="clear" w:color="auto" w:fill="FFFFFF"/>
            <w:vAlign w:val="center"/>
          </w:tcPr>
          <w:p w14:paraId="04B7212D"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MMP13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00806576"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CAGTCACCTCTAAGCCAAAGAAA</w:t>
            </w:r>
          </w:p>
        </w:tc>
      </w:tr>
      <w:tr w:rsidR="005C2DB5" w14:paraId="06D4510E" w14:textId="77777777">
        <w:tc>
          <w:tcPr>
            <w:tcW w:w="4261" w:type="dxa"/>
            <w:tcBorders>
              <w:top w:val="nil"/>
              <w:left w:val="nil"/>
              <w:bottom w:val="nil"/>
              <w:right w:val="nil"/>
            </w:tcBorders>
            <w:shd w:val="clear" w:color="auto" w:fill="FFFFFF"/>
            <w:vAlign w:val="center"/>
          </w:tcPr>
          <w:p w14:paraId="0288A33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ADAMTS5 Forward</w:t>
            </w:r>
          </w:p>
        </w:tc>
        <w:tc>
          <w:tcPr>
            <w:tcW w:w="4261" w:type="dxa"/>
            <w:tcBorders>
              <w:top w:val="nil"/>
              <w:left w:val="nil"/>
              <w:bottom w:val="nil"/>
              <w:right w:val="nil"/>
            </w:tcBorders>
            <w:shd w:val="clear" w:color="auto" w:fill="FFFFFF"/>
            <w:vAlign w:val="center"/>
          </w:tcPr>
          <w:p w14:paraId="4EEA1FD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GGAGCGAGGCCATTTACAAC</w:t>
            </w:r>
          </w:p>
        </w:tc>
      </w:tr>
      <w:tr w:rsidR="005C2DB5" w14:paraId="4916A637" w14:textId="77777777">
        <w:tc>
          <w:tcPr>
            <w:tcW w:w="4261" w:type="dxa"/>
            <w:tcBorders>
              <w:top w:val="nil"/>
              <w:left w:val="nil"/>
              <w:bottom w:val="nil"/>
              <w:right w:val="nil"/>
            </w:tcBorders>
            <w:shd w:val="clear" w:color="auto" w:fill="FFFFFF"/>
            <w:vAlign w:val="center"/>
          </w:tcPr>
          <w:p w14:paraId="1A363751"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ADAMTS5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2CF4DEDE"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CGTAGACAAGGTAGCCCACTTT</w:t>
            </w:r>
          </w:p>
        </w:tc>
      </w:tr>
      <w:tr w:rsidR="005C2DB5" w14:paraId="27B92820" w14:textId="77777777">
        <w:tc>
          <w:tcPr>
            <w:tcW w:w="4261" w:type="dxa"/>
            <w:tcBorders>
              <w:top w:val="nil"/>
              <w:left w:val="nil"/>
              <w:bottom w:val="nil"/>
              <w:right w:val="nil"/>
            </w:tcBorders>
            <w:shd w:val="clear" w:color="auto" w:fill="FFFFFF"/>
            <w:vAlign w:val="center"/>
          </w:tcPr>
          <w:p w14:paraId="04F37555"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COL2A1 Forward</w:t>
            </w:r>
          </w:p>
        </w:tc>
        <w:tc>
          <w:tcPr>
            <w:tcW w:w="4261" w:type="dxa"/>
            <w:tcBorders>
              <w:top w:val="nil"/>
              <w:left w:val="nil"/>
              <w:bottom w:val="nil"/>
              <w:right w:val="nil"/>
            </w:tcBorders>
            <w:shd w:val="clear" w:color="auto" w:fill="FFFFFF"/>
            <w:vAlign w:val="center"/>
          </w:tcPr>
          <w:p w14:paraId="0AE90032"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TTGAGACAGCACGACGTGGAG</w:t>
            </w:r>
          </w:p>
        </w:tc>
      </w:tr>
      <w:tr w:rsidR="005C2DB5" w14:paraId="42E38A0D" w14:textId="77777777">
        <w:tc>
          <w:tcPr>
            <w:tcW w:w="4261" w:type="dxa"/>
            <w:tcBorders>
              <w:top w:val="nil"/>
              <w:left w:val="nil"/>
              <w:bottom w:val="nil"/>
              <w:right w:val="nil"/>
            </w:tcBorders>
            <w:shd w:val="clear" w:color="auto" w:fill="FFFFFF"/>
            <w:vAlign w:val="center"/>
          </w:tcPr>
          <w:p w14:paraId="054522AE"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COL2A1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48501286"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AGCCAGGTTGCCATCGCCATA</w:t>
            </w:r>
          </w:p>
        </w:tc>
      </w:tr>
      <w:tr w:rsidR="005C2DB5" w14:paraId="7026CDA4" w14:textId="77777777">
        <w:tc>
          <w:tcPr>
            <w:tcW w:w="4261" w:type="dxa"/>
            <w:tcBorders>
              <w:top w:val="nil"/>
              <w:left w:val="nil"/>
              <w:bottom w:val="nil"/>
              <w:right w:val="nil"/>
            </w:tcBorders>
            <w:shd w:val="clear" w:color="auto" w:fill="FFFFFF"/>
            <w:vAlign w:val="center"/>
          </w:tcPr>
          <w:p w14:paraId="2E33F9BA"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ACAN Forward</w:t>
            </w:r>
          </w:p>
        </w:tc>
        <w:tc>
          <w:tcPr>
            <w:tcW w:w="4261" w:type="dxa"/>
            <w:tcBorders>
              <w:top w:val="nil"/>
              <w:left w:val="nil"/>
              <w:bottom w:val="nil"/>
              <w:right w:val="nil"/>
            </w:tcBorders>
            <w:shd w:val="clear" w:color="auto" w:fill="FFFFFF"/>
            <w:vAlign w:val="center"/>
          </w:tcPr>
          <w:p w14:paraId="1B0028B8" w14:textId="77777777" w:rsidR="005C2DB5" w:rsidRDefault="00000000">
            <w:pPr>
              <w:pStyle w:val="EndNoteBibliography"/>
              <w:spacing w:line="480" w:lineRule="auto"/>
              <w:rPr>
                <w:rFonts w:ascii="Arial" w:hAnsi="Arial" w:cs="Arial"/>
                <w:color w:val="000000" w:themeColor="text1"/>
                <w:sz w:val="24"/>
              </w:rPr>
            </w:pPr>
            <w:r>
              <w:rPr>
                <w:rFonts w:ascii="Arial" w:eastAsia="宋体" w:hAnsi="Arial" w:cs="Arial"/>
                <w:color w:val="000000" w:themeColor="text1"/>
                <w:kern w:val="0"/>
                <w:sz w:val="24"/>
                <w:lang w:bidi="ar"/>
              </w:rPr>
              <w:t>GTCTGACGGACACTCTCTGC</w:t>
            </w:r>
          </w:p>
        </w:tc>
      </w:tr>
      <w:tr w:rsidR="005C2DB5" w14:paraId="20096140" w14:textId="77777777">
        <w:tc>
          <w:tcPr>
            <w:tcW w:w="4261" w:type="dxa"/>
            <w:tcBorders>
              <w:top w:val="nil"/>
              <w:left w:val="nil"/>
              <w:bottom w:val="nil"/>
              <w:right w:val="nil"/>
            </w:tcBorders>
            <w:shd w:val="clear" w:color="auto" w:fill="FFFFFF"/>
            <w:vAlign w:val="center"/>
          </w:tcPr>
          <w:p w14:paraId="1BAC12A1"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 xml:space="preserve">ACAN </w:t>
            </w:r>
            <w:r>
              <w:rPr>
                <w:rFonts w:ascii="Arial" w:eastAsia="宋体" w:hAnsi="Arial" w:cs="Arial"/>
                <w:color w:val="000000" w:themeColor="text1"/>
                <w:sz w:val="24"/>
              </w:rPr>
              <w:t>Reverse</w:t>
            </w:r>
          </w:p>
        </w:tc>
        <w:tc>
          <w:tcPr>
            <w:tcW w:w="4261" w:type="dxa"/>
            <w:tcBorders>
              <w:top w:val="nil"/>
              <w:left w:val="nil"/>
              <w:bottom w:val="nil"/>
              <w:right w:val="nil"/>
            </w:tcBorders>
            <w:shd w:val="clear" w:color="auto" w:fill="FFFFFF"/>
            <w:vAlign w:val="center"/>
          </w:tcPr>
          <w:p w14:paraId="33535C51" w14:textId="77777777" w:rsidR="005C2DB5" w:rsidRDefault="00000000">
            <w:pPr>
              <w:pStyle w:val="EndNoteBibliography"/>
              <w:spacing w:line="480" w:lineRule="auto"/>
              <w:rPr>
                <w:rFonts w:ascii="Arial" w:hAnsi="Arial" w:cs="Arial"/>
                <w:color w:val="000000" w:themeColor="text1"/>
                <w:sz w:val="24"/>
              </w:rPr>
            </w:pPr>
            <w:r>
              <w:rPr>
                <w:rFonts w:ascii="Arial" w:eastAsia="宋体" w:hAnsi="Arial" w:cs="Arial"/>
                <w:color w:val="000000" w:themeColor="text1"/>
                <w:kern w:val="0"/>
                <w:sz w:val="24"/>
                <w:lang w:bidi="ar"/>
              </w:rPr>
              <w:t>GTCGTTCCATTCGCCTCT</w:t>
            </w:r>
          </w:p>
        </w:tc>
      </w:tr>
      <w:tr w:rsidR="005C2DB5" w14:paraId="62BFE43B" w14:textId="77777777">
        <w:tc>
          <w:tcPr>
            <w:tcW w:w="4261" w:type="dxa"/>
            <w:tcBorders>
              <w:top w:val="nil"/>
              <w:left w:val="nil"/>
              <w:bottom w:val="nil"/>
              <w:right w:val="nil"/>
            </w:tcBorders>
            <w:shd w:val="clear" w:color="auto" w:fill="FFFFFF"/>
            <w:vAlign w:val="center"/>
          </w:tcPr>
          <w:p w14:paraId="22E4953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GAPDH Forward</w:t>
            </w:r>
          </w:p>
        </w:tc>
        <w:tc>
          <w:tcPr>
            <w:tcW w:w="4261" w:type="dxa"/>
            <w:tcBorders>
              <w:top w:val="nil"/>
              <w:left w:val="nil"/>
              <w:bottom w:val="nil"/>
              <w:right w:val="nil"/>
            </w:tcBorders>
            <w:shd w:val="clear" w:color="auto" w:fill="FFFFFF"/>
            <w:vAlign w:val="center"/>
          </w:tcPr>
          <w:p w14:paraId="363D24F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TGGCCTTCCGTGTTCCTAC</w:t>
            </w:r>
          </w:p>
        </w:tc>
      </w:tr>
      <w:tr w:rsidR="005C2DB5" w14:paraId="60ED3F6F" w14:textId="77777777">
        <w:tc>
          <w:tcPr>
            <w:tcW w:w="4261" w:type="dxa"/>
            <w:tcBorders>
              <w:top w:val="nil"/>
              <w:left w:val="nil"/>
              <w:bottom w:val="single" w:sz="12" w:space="0" w:color="000000"/>
              <w:right w:val="nil"/>
            </w:tcBorders>
            <w:shd w:val="clear" w:color="auto" w:fill="FFFFFF"/>
            <w:vAlign w:val="center"/>
          </w:tcPr>
          <w:p w14:paraId="76A396BA"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lastRenderedPageBreak/>
              <w:t xml:space="preserve">GAPDH </w:t>
            </w:r>
            <w:r>
              <w:rPr>
                <w:rFonts w:ascii="Arial" w:eastAsia="宋体" w:hAnsi="Arial" w:cs="Arial"/>
                <w:color w:val="000000" w:themeColor="text1"/>
                <w:sz w:val="24"/>
              </w:rPr>
              <w:t>Reverse</w:t>
            </w:r>
          </w:p>
        </w:tc>
        <w:tc>
          <w:tcPr>
            <w:tcW w:w="4261" w:type="dxa"/>
            <w:tcBorders>
              <w:top w:val="nil"/>
              <w:left w:val="nil"/>
              <w:bottom w:val="single" w:sz="12" w:space="0" w:color="000000"/>
              <w:right w:val="nil"/>
            </w:tcBorders>
            <w:shd w:val="clear" w:color="auto" w:fill="FFFFFF"/>
            <w:vAlign w:val="center"/>
          </w:tcPr>
          <w:p w14:paraId="7CDA61F7" w14:textId="77777777" w:rsidR="005C2DB5" w:rsidRDefault="00000000">
            <w:pPr>
              <w:pStyle w:val="EndNoteBibliography"/>
              <w:spacing w:line="480" w:lineRule="auto"/>
              <w:rPr>
                <w:rFonts w:ascii="Arial" w:hAnsi="Arial" w:cs="Arial"/>
                <w:color w:val="000000" w:themeColor="text1"/>
                <w:sz w:val="24"/>
              </w:rPr>
            </w:pPr>
            <w:r>
              <w:rPr>
                <w:rFonts w:ascii="Arial" w:hAnsi="Arial" w:cs="Arial"/>
                <w:color w:val="000000" w:themeColor="text1"/>
                <w:sz w:val="24"/>
              </w:rPr>
              <w:t>GAGTTGCTGTTGAAGTCGCA</w:t>
            </w:r>
          </w:p>
        </w:tc>
      </w:tr>
    </w:tbl>
    <w:p w14:paraId="08A76529" w14:textId="77777777" w:rsidR="005C2DB5" w:rsidRDefault="00000000">
      <w:pPr>
        <w:pStyle w:val="EndNoteBibliography"/>
        <w:spacing w:line="480" w:lineRule="auto"/>
        <w:rPr>
          <w:rFonts w:ascii="Arial" w:eastAsia="宋体" w:hAnsi="Arial" w:cs="Arial"/>
          <w:color w:val="000000" w:themeColor="text1"/>
          <w:sz w:val="24"/>
        </w:rPr>
      </w:pPr>
      <w:bookmarkStart w:id="16" w:name="OLE_LINK9"/>
      <w:r>
        <w:rPr>
          <w:rFonts w:ascii="Arial" w:eastAsia="宋体" w:hAnsi="Arial" w:cs="Arial"/>
          <w:color w:val="000000" w:themeColor="text1"/>
          <w:sz w:val="24"/>
        </w:rPr>
        <w:t>Flow Cytometric Analysis of Macrophage Phenotypes</w:t>
      </w:r>
    </w:p>
    <w:p w14:paraId="479DCAEC" w14:textId="2286EE72" w:rsidR="006D74FC"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t xml:space="preserve">To evaluate the polarization of macrophage phenotypes, flow cytometry was performed </w:t>
      </w:r>
      <w:r w:rsidR="00F259FD" w:rsidRPr="00F259FD">
        <w:rPr>
          <w:rFonts w:ascii="Arial" w:eastAsia="宋体" w:hAnsi="Arial" w:cs="Arial"/>
          <w:color w:val="000000" w:themeColor="text1"/>
          <w:sz w:val="24"/>
        </w:rPr>
        <w:t>according to standard procedures</w:t>
      </w:r>
      <w:r>
        <w:rPr>
          <w:rFonts w:ascii="Arial" w:eastAsia="宋体" w:hAnsi="Arial" w:cs="Arial"/>
          <w:color w:val="000000" w:themeColor="text1"/>
          <w:sz w:val="24"/>
        </w:rPr>
        <w:t xml:space="preserve">. </w:t>
      </w:r>
      <w:bookmarkStart w:id="17" w:name="_Hlk210075043"/>
      <w:r>
        <w:rPr>
          <w:rFonts w:ascii="Arial" w:eastAsia="宋体" w:hAnsi="Arial" w:cs="Arial"/>
          <w:color w:val="000000" w:themeColor="text1"/>
          <w:sz w:val="24"/>
        </w:rPr>
        <w:t xml:space="preserve">Briefly, cells treated under different conditions were collected and washed twice with ice-cold PBS. </w:t>
      </w:r>
      <w:r>
        <w:rPr>
          <w:rFonts w:ascii="Arial" w:eastAsia="宋体" w:hAnsi="Arial" w:cs="Arial" w:hint="eastAsia"/>
          <w:color w:val="000000" w:themeColor="text1"/>
          <w:sz w:val="24"/>
        </w:rPr>
        <w:t>Then, cells were stained with the following fluorescently conjugated antibodies for 30 minutes at 4</w:t>
      </w:r>
      <w:r>
        <w:rPr>
          <w:rFonts w:ascii="Arial" w:eastAsia="宋体" w:hAnsi="Arial" w:cs="Arial"/>
          <w:color w:val="000000" w:themeColor="text1"/>
          <w:sz w:val="24"/>
        </w:rPr>
        <w:t>°</w:t>
      </w:r>
      <w:r>
        <w:rPr>
          <w:rFonts w:ascii="Arial" w:eastAsia="宋体" w:hAnsi="Arial" w:cs="Arial" w:hint="eastAsia"/>
          <w:color w:val="000000" w:themeColor="text1"/>
          <w:sz w:val="24"/>
        </w:rPr>
        <w:t>C in the dark: anti-F4/80 (</w:t>
      </w:r>
      <w:r>
        <w:rPr>
          <w:rFonts w:ascii="Arial" w:eastAsia="宋体" w:hAnsi="Arial" w:cs="Arial"/>
          <w:color w:val="000000" w:themeColor="text1"/>
          <w:sz w:val="24"/>
        </w:rPr>
        <w:t xml:space="preserve">Cat. No. 123109, clone </w:t>
      </w:r>
      <w:r>
        <w:rPr>
          <w:rFonts w:ascii="Arial" w:eastAsia="宋体" w:hAnsi="Arial" w:cs="Arial" w:hint="eastAsia"/>
          <w:color w:val="000000" w:themeColor="text1"/>
          <w:sz w:val="24"/>
        </w:rPr>
        <w:t>BM8</w:t>
      </w:r>
      <w:r>
        <w:rPr>
          <w:rFonts w:ascii="Arial" w:eastAsia="宋体" w:hAnsi="Arial" w:cs="Arial"/>
          <w:color w:val="000000" w:themeColor="text1"/>
          <w:sz w:val="24"/>
        </w:rPr>
        <w:t xml:space="preserve">, </w:t>
      </w:r>
      <w:proofErr w:type="spellStart"/>
      <w:r>
        <w:rPr>
          <w:rFonts w:ascii="Arial" w:eastAsia="宋体" w:hAnsi="Arial" w:cs="Arial"/>
          <w:color w:val="000000" w:themeColor="text1"/>
          <w:sz w:val="24"/>
        </w:rPr>
        <w:t>BioLegend</w:t>
      </w:r>
      <w:proofErr w:type="spellEnd"/>
      <w:r>
        <w:rPr>
          <w:rFonts w:ascii="Arial" w:eastAsia="宋体" w:hAnsi="Arial" w:cs="Arial"/>
          <w:color w:val="000000" w:themeColor="text1"/>
          <w:sz w:val="24"/>
        </w:rPr>
        <w:t>, USA</w:t>
      </w:r>
      <w:r>
        <w:rPr>
          <w:rFonts w:ascii="Arial" w:eastAsia="宋体" w:hAnsi="Arial" w:cs="Arial" w:hint="eastAsia"/>
          <w:color w:val="000000" w:themeColor="text1"/>
          <w:sz w:val="24"/>
        </w:rPr>
        <w:t>) to identify the macrophage population; anti-CD86 (</w:t>
      </w:r>
      <w:r>
        <w:rPr>
          <w:rFonts w:ascii="Arial" w:hAnsi="Arial" w:cs="Arial"/>
          <w:sz w:val="24"/>
        </w:rPr>
        <w:t xml:space="preserve">Cat. No. 105005, </w:t>
      </w:r>
      <w:r>
        <w:rPr>
          <w:rFonts w:ascii="Arial" w:hAnsi="Arial" w:cs="Arial" w:hint="eastAsia"/>
          <w:sz w:val="24"/>
        </w:rPr>
        <w:t xml:space="preserve">clone GL-1, </w:t>
      </w:r>
      <w:proofErr w:type="spellStart"/>
      <w:r>
        <w:rPr>
          <w:rFonts w:ascii="Arial" w:hAnsi="Arial" w:cs="Arial"/>
          <w:sz w:val="24"/>
        </w:rPr>
        <w:t>BioLegend</w:t>
      </w:r>
      <w:proofErr w:type="spellEnd"/>
      <w:r>
        <w:rPr>
          <w:rFonts w:ascii="Arial" w:hAnsi="Arial" w:cs="Arial"/>
          <w:sz w:val="24"/>
        </w:rPr>
        <w:t>, USA</w:t>
      </w:r>
      <w:r>
        <w:rPr>
          <w:rFonts w:ascii="Arial" w:eastAsia="宋体" w:hAnsi="Arial" w:cs="Arial" w:hint="eastAsia"/>
          <w:color w:val="000000" w:themeColor="text1"/>
          <w:sz w:val="24"/>
        </w:rPr>
        <w:t xml:space="preserve">) to detect M1-type macrophages. </w:t>
      </w:r>
      <w:bookmarkEnd w:id="16"/>
      <w:r>
        <w:rPr>
          <w:rFonts w:ascii="Arial" w:eastAsia="宋体" w:hAnsi="Arial" w:cs="Arial" w:hint="eastAsia"/>
          <w:color w:val="000000" w:themeColor="text1"/>
          <w:sz w:val="24"/>
        </w:rPr>
        <w:t xml:space="preserve">After incubation, cells were washed twice with PBS containing 1% bovine serum albumin (BSA) to remove unbound antibodies. Subsequently, cells were resuspended in cold PBS and analyzed immediately on flow cytometer (BD Biosciences, USA), and data analysis was performed using the </w:t>
      </w:r>
      <w:proofErr w:type="spellStart"/>
      <w:r>
        <w:rPr>
          <w:rFonts w:ascii="Arial" w:eastAsia="宋体" w:hAnsi="Arial" w:cs="Arial" w:hint="eastAsia"/>
          <w:color w:val="000000" w:themeColor="text1"/>
          <w:sz w:val="24"/>
        </w:rPr>
        <w:t>FlowJo</w:t>
      </w:r>
      <w:proofErr w:type="spellEnd"/>
      <w:r>
        <w:rPr>
          <w:rFonts w:ascii="Arial" w:eastAsia="宋体" w:hAnsi="Arial" w:cs="Arial" w:hint="eastAsia"/>
          <w:color w:val="000000" w:themeColor="text1"/>
          <w:sz w:val="24"/>
        </w:rPr>
        <w:t xml:space="preserve"> software (</w:t>
      </w:r>
      <w:proofErr w:type="spellStart"/>
      <w:r>
        <w:rPr>
          <w:rFonts w:ascii="Arial" w:eastAsia="宋体" w:hAnsi="Arial" w:cs="Arial" w:hint="eastAsia"/>
          <w:color w:val="000000" w:themeColor="text1"/>
          <w:sz w:val="24"/>
        </w:rPr>
        <w:t>Treestar</w:t>
      </w:r>
      <w:proofErr w:type="spellEnd"/>
      <w:r>
        <w:rPr>
          <w:rFonts w:ascii="Arial" w:eastAsia="宋体" w:hAnsi="Arial" w:cs="Arial" w:hint="eastAsia"/>
          <w:color w:val="000000" w:themeColor="text1"/>
          <w:sz w:val="24"/>
        </w:rPr>
        <w:t>, USA).</w:t>
      </w:r>
    </w:p>
    <w:p w14:paraId="455AE4CA" w14:textId="2444B5F0" w:rsidR="006D74FC" w:rsidRDefault="006D74FC">
      <w:pPr>
        <w:pStyle w:val="EndNoteBibliography"/>
        <w:spacing w:line="480" w:lineRule="auto"/>
        <w:rPr>
          <w:rFonts w:ascii="Arial" w:eastAsia="宋体" w:hAnsi="Arial" w:cs="Arial"/>
          <w:color w:val="000000" w:themeColor="text1"/>
          <w:sz w:val="24"/>
        </w:rPr>
      </w:pPr>
      <w:r>
        <w:rPr>
          <w:rFonts w:ascii="Arial" w:eastAsia="宋体" w:hAnsi="Arial" w:cs="Arial" w:hint="eastAsia"/>
          <w:color w:val="000000" w:themeColor="text1"/>
          <w:sz w:val="24"/>
        </w:rPr>
        <w:t>Cell treatment</w:t>
      </w:r>
    </w:p>
    <w:p w14:paraId="4ABA0D6D" w14:textId="554AF297" w:rsidR="006D74FC" w:rsidRDefault="006D74FC">
      <w:pPr>
        <w:pStyle w:val="EndNoteBibliography"/>
        <w:spacing w:line="480" w:lineRule="auto"/>
        <w:rPr>
          <w:rFonts w:ascii="Arial" w:eastAsia="宋体" w:hAnsi="Arial" w:cs="Arial" w:hint="eastAsia"/>
          <w:color w:val="000000" w:themeColor="text1"/>
          <w:sz w:val="24"/>
        </w:rPr>
      </w:pPr>
      <w:r w:rsidRPr="006D74FC">
        <w:rPr>
          <w:rFonts w:ascii="Arial" w:eastAsia="宋体" w:hAnsi="Arial" w:cs="Arial"/>
          <w:color w:val="000000" w:themeColor="text1"/>
          <w:sz w:val="24"/>
        </w:rPr>
        <w:t xml:space="preserve">ATDC5 chondrogenic cells were subjected to a chondrogenic differentiation protocol for 14D, which involved culturing in medium supplemented with 1% insulin-transferrin-selenium (ITS-G, Procell, China) and reducing the fetal bovine serum (FBS) concentration from 10% to 5%. After ATDC5 chondrogenic cells differentiate into chondrocytes, the cells were treated with 10 </w:t>
      </w:r>
      <w:proofErr w:type="spellStart"/>
      <w:r w:rsidRPr="006D74FC">
        <w:rPr>
          <w:rFonts w:ascii="Arial" w:eastAsia="宋体" w:hAnsi="Arial" w:cs="Arial"/>
          <w:color w:val="000000" w:themeColor="text1"/>
          <w:sz w:val="24"/>
        </w:rPr>
        <w:t>μM</w:t>
      </w:r>
      <w:proofErr w:type="spellEnd"/>
      <w:r w:rsidRPr="006D74FC">
        <w:rPr>
          <w:rFonts w:ascii="Arial" w:eastAsia="宋体" w:hAnsi="Arial" w:cs="Arial"/>
          <w:color w:val="000000" w:themeColor="text1"/>
          <w:sz w:val="24"/>
        </w:rPr>
        <w:t xml:space="preserve"> </w:t>
      </w:r>
      <w:proofErr w:type="spellStart"/>
      <w:r w:rsidRPr="006D74FC">
        <w:rPr>
          <w:rFonts w:ascii="Arial" w:eastAsia="宋体" w:hAnsi="Arial" w:cs="Arial"/>
          <w:color w:val="000000" w:themeColor="text1"/>
          <w:sz w:val="24"/>
        </w:rPr>
        <w:t>Ruxolitinib</w:t>
      </w:r>
      <w:proofErr w:type="spellEnd"/>
      <w:r w:rsidRPr="006D74FC">
        <w:rPr>
          <w:rFonts w:ascii="Arial" w:eastAsia="宋体" w:hAnsi="Arial" w:cs="Arial"/>
          <w:color w:val="000000" w:themeColor="text1"/>
          <w:sz w:val="24"/>
        </w:rPr>
        <w:t xml:space="preserve"> (a JAK inhibitor) 12 hours and/or a single application of PBM intervention.</w:t>
      </w:r>
    </w:p>
    <w:bookmarkEnd w:id="17"/>
    <w:p w14:paraId="7AD75E1A" w14:textId="77777777"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hint="eastAsia"/>
          <w:color w:val="000000" w:themeColor="text1"/>
          <w:sz w:val="24"/>
        </w:rPr>
        <w:t>Animal model</w:t>
      </w:r>
    </w:p>
    <w:p w14:paraId="3341F7A5" w14:textId="77777777"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lastRenderedPageBreak/>
        <w:t>Osteoarthritis was induced via the surgical destabilization of the medial meniscus (DMM) model</w:t>
      </w:r>
      <w:r>
        <w:rPr>
          <w:rFonts w:ascii="Arial" w:eastAsia="宋体" w:hAnsi="Arial" w:cs="Arial" w:hint="eastAsia"/>
          <w:color w:val="000000" w:themeColor="text1"/>
          <w:sz w:val="24"/>
        </w:rPr>
        <w:t>. M</w:t>
      </w:r>
      <w:r>
        <w:rPr>
          <w:rFonts w:ascii="Arial" w:eastAsia="宋体" w:hAnsi="Arial" w:cs="Arial"/>
          <w:color w:val="000000" w:themeColor="text1"/>
          <w:sz w:val="24"/>
        </w:rPr>
        <w:t xml:space="preserve">ice were anesthetized with isoflurane (induction 3%, maintenance 1.5%), and a medial para-patellar arthrotomy was performed on the right knee joint. The medial </w:t>
      </w:r>
      <w:proofErr w:type="spellStart"/>
      <w:r>
        <w:rPr>
          <w:rFonts w:ascii="Arial" w:eastAsia="宋体" w:hAnsi="Arial" w:cs="Arial"/>
          <w:color w:val="000000" w:themeColor="text1"/>
          <w:sz w:val="24"/>
        </w:rPr>
        <w:t>meniscotibial</w:t>
      </w:r>
      <w:proofErr w:type="spellEnd"/>
      <w:r>
        <w:rPr>
          <w:rFonts w:ascii="Arial" w:eastAsia="宋体" w:hAnsi="Arial" w:cs="Arial"/>
          <w:color w:val="000000" w:themeColor="text1"/>
          <w:sz w:val="24"/>
        </w:rPr>
        <w:t xml:space="preserve"> ligament was identified and then transected using micro-surgical scissors to destabilize the medial meniscus. In contrast, mice in the sham group received the same surgical procedure without the transection of the medial </w:t>
      </w:r>
      <w:proofErr w:type="spellStart"/>
      <w:r>
        <w:rPr>
          <w:rFonts w:ascii="Arial" w:eastAsia="宋体" w:hAnsi="Arial" w:cs="Arial"/>
          <w:color w:val="000000" w:themeColor="text1"/>
          <w:sz w:val="24"/>
        </w:rPr>
        <w:t>meniscotibial</w:t>
      </w:r>
      <w:proofErr w:type="spellEnd"/>
      <w:r>
        <w:rPr>
          <w:rFonts w:ascii="Arial" w:eastAsia="宋体" w:hAnsi="Arial" w:cs="Arial"/>
          <w:color w:val="000000" w:themeColor="text1"/>
          <w:sz w:val="24"/>
        </w:rPr>
        <w:t xml:space="preserve"> ligament.</w:t>
      </w:r>
      <w:r>
        <w:rPr>
          <w:rFonts w:ascii="Arial" w:eastAsia="宋体" w:hAnsi="Arial" w:cs="Arial" w:hint="eastAsia"/>
          <w:color w:val="000000" w:themeColor="text1"/>
          <w:sz w:val="24"/>
        </w:rPr>
        <w:t xml:space="preserve"> </w:t>
      </w:r>
      <w:r>
        <w:rPr>
          <w:rFonts w:ascii="Arial" w:eastAsia="宋体" w:hAnsi="Arial" w:cs="Arial"/>
          <w:color w:val="000000" w:themeColor="text1"/>
          <w:sz w:val="24"/>
        </w:rPr>
        <w:t>In both groups, the joint capsule was subsequently sutured with 6-0 nylon, and the skin was closed with wound clips. All surgical procedures were performed under aseptic conditions.</w:t>
      </w:r>
    </w:p>
    <w:p w14:paraId="04C63383" w14:textId="40EF0C28"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t xml:space="preserve">Von </w:t>
      </w:r>
      <w:proofErr w:type="spellStart"/>
      <w:r w:rsidR="00F259FD">
        <w:rPr>
          <w:rFonts w:ascii="Arial" w:eastAsia="宋体" w:hAnsi="Arial" w:cs="Arial" w:hint="eastAsia"/>
          <w:color w:val="000000" w:themeColor="text1"/>
          <w:sz w:val="24"/>
        </w:rPr>
        <w:t>f</w:t>
      </w:r>
      <w:r>
        <w:rPr>
          <w:rFonts w:ascii="Arial" w:eastAsia="宋体" w:hAnsi="Arial" w:cs="Arial"/>
          <w:color w:val="000000" w:themeColor="text1"/>
          <w:sz w:val="24"/>
        </w:rPr>
        <w:t>rey</w:t>
      </w:r>
      <w:proofErr w:type="spellEnd"/>
      <w:r w:rsidR="00F259FD">
        <w:rPr>
          <w:rFonts w:ascii="Arial" w:eastAsia="宋体" w:hAnsi="Arial" w:cs="Arial" w:hint="eastAsia"/>
          <w:color w:val="000000" w:themeColor="text1"/>
          <w:sz w:val="24"/>
        </w:rPr>
        <w:t xml:space="preserve"> </w:t>
      </w:r>
      <w:r>
        <w:rPr>
          <w:rFonts w:ascii="Arial" w:eastAsia="宋体" w:hAnsi="Arial" w:cs="Arial"/>
          <w:color w:val="000000" w:themeColor="text1"/>
          <w:sz w:val="24"/>
        </w:rPr>
        <w:t>test</w:t>
      </w:r>
    </w:p>
    <w:p w14:paraId="42B2CF67" w14:textId="27A6E1CF"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t xml:space="preserve">The mechanical pain threshold was assessed using the von </w:t>
      </w:r>
      <w:proofErr w:type="spellStart"/>
      <w:r w:rsidR="00F259FD">
        <w:rPr>
          <w:rFonts w:ascii="Arial" w:eastAsia="宋体" w:hAnsi="Arial" w:cs="Arial" w:hint="eastAsia"/>
          <w:color w:val="000000" w:themeColor="text1"/>
          <w:sz w:val="24"/>
        </w:rPr>
        <w:t>f</w:t>
      </w:r>
      <w:r>
        <w:rPr>
          <w:rFonts w:ascii="Arial" w:eastAsia="宋体" w:hAnsi="Arial" w:cs="Arial"/>
          <w:color w:val="000000" w:themeColor="text1"/>
          <w:sz w:val="24"/>
        </w:rPr>
        <w:t>rey</w:t>
      </w:r>
      <w:proofErr w:type="spellEnd"/>
      <w:r>
        <w:rPr>
          <w:rFonts w:ascii="Arial" w:eastAsia="宋体" w:hAnsi="Arial" w:cs="Arial"/>
          <w:color w:val="000000" w:themeColor="text1"/>
          <w:sz w:val="24"/>
        </w:rPr>
        <w:t xml:space="preserve"> test, where acclimatized mice were placed on an elevated mesh platform and stimulated on the plantar </w:t>
      </w:r>
      <w:proofErr w:type="spellStart"/>
      <w:r>
        <w:rPr>
          <w:rFonts w:ascii="Arial" w:eastAsia="宋体" w:hAnsi="Arial" w:cs="Arial"/>
          <w:color w:val="000000" w:themeColor="text1"/>
          <w:sz w:val="24"/>
        </w:rPr>
        <w:t>hindpaw</w:t>
      </w:r>
      <w:proofErr w:type="spellEnd"/>
      <w:r>
        <w:rPr>
          <w:rFonts w:ascii="Arial" w:eastAsia="宋体" w:hAnsi="Arial" w:cs="Arial"/>
          <w:color w:val="000000" w:themeColor="text1"/>
          <w:sz w:val="24"/>
        </w:rPr>
        <w:t xml:space="preserve"> with calibrated filaments (0.16–6.0 g force range</w:t>
      </w:r>
      <w:r>
        <w:rPr>
          <w:rFonts w:ascii="Arial" w:eastAsia="宋体" w:hAnsi="Arial" w:cs="Arial" w:hint="eastAsia"/>
          <w:color w:val="000000" w:themeColor="text1"/>
          <w:sz w:val="24"/>
        </w:rPr>
        <w:t>, North Coast, USA</w:t>
      </w:r>
      <w:r>
        <w:rPr>
          <w:rFonts w:ascii="Arial" w:eastAsia="宋体" w:hAnsi="Arial" w:cs="Arial"/>
          <w:color w:val="000000" w:themeColor="text1"/>
          <w:sz w:val="24"/>
        </w:rPr>
        <w:t xml:space="preserve">) using the up-down method to determine the 50% paw withdrawal threshold. </w:t>
      </w:r>
    </w:p>
    <w:p w14:paraId="60CB7FB4" w14:textId="77777777"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t>Hot plate test</w:t>
      </w:r>
    </w:p>
    <w:p w14:paraId="79EEFBB2" w14:textId="16EEF12F" w:rsidR="005C2DB5" w:rsidRDefault="00000000">
      <w:pPr>
        <w:pStyle w:val="EndNoteBibliography"/>
        <w:spacing w:line="480" w:lineRule="auto"/>
        <w:rPr>
          <w:rFonts w:ascii="Arial" w:eastAsia="宋体" w:hAnsi="Arial" w:cs="Arial"/>
          <w:color w:val="000000" w:themeColor="text1"/>
          <w:sz w:val="24"/>
        </w:rPr>
      </w:pPr>
      <w:r>
        <w:rPr>
          <w:rFonts w:ascii="Arial" w:eastAsia="宋体" w:hAnsi="Arial" w:cs="Arial"/>
          <w:color w:val="000000" w:themeColor="text1"/>
          <w:sz w:val="24"/>
        </w:rPr>
        <w:t>Thermal pain sensitivity was evaluated using a hot plate apparatus</w:t>
      </w:r>
      <w:r>
        <w:rPr>
          <w:rFonts w:ascii="Arial" w:eastAsia="宋体" w:hAnsi="Arial" w:cs="Arial" w:hint="eastAsia"/>
          <w:color w:val="000000" w:themeColor="text1"/>
          <w:sz w:val="24"/>
        </w:rPr>
        <w:t xml:space="preserve"> (Shanghai Yuyan Instruments, China)</w:t>
      </w:r>
      <w:r>
        <w:rPr>
          <w:rFonts w:ascii="Arial" w:eastAsia="宋体" w:hAnsi="Arial" w:cs="Arial"/>
          <w:color w:val="000000" w:themeColor="text1"/>
          <w:sz w:val="24"/>
        </w:rPr>
        <w:t xml:space="preserve"> maintained at 52–55°C, where mice were confined in a plexiglass cylinder and the latency to </w:t>
      </w:r>
      <w:proofErr w:type="spellStart"/>
      <w:r>
        <w:rPr>
          <w:rFonts w:ascii="Arial" w:eastAsia="宋体" w:hAnsi="Arial" w:cs="Arial"/>
          <w:color w:val="000000" w:themeColor="text1"/>
          <w:sz w:val="24"/>
        </w:rPr>
        <w:t>hindpaw</w:t>
      </w:r>
      <w:proofErr w:type="spellEnd"/>
      <w:r>
        <w:rPr>
          <w:rFonts w:ascii="Arial" w:eastAsia="宋体" w:hAnsi="Arial" w:cs="Arial"/>
          <w:color w:val="000000" w:themeColor="text1"/>
          <w:sz w:val="24"/>
        </w:rPr>
        <w:t xml:space="preserve"> licking</w:t>
      </w:r>
      <w:r w:rsidR="009E443F">
        <w:rPr>
          <w:rFonts w:ascii="Arial" w:eastAsia="宋体" w:hAnsi="Arial" w:cs="Arial" w:hint="eastAsia"/>
          <w:color w:val="000000" w:themeColor="text1"/>
          <w:sz w:val="24"/>
        </w:rPr>
        <w:t>,</w:t>
      </w:r>
      <w:r>
        <w:rPr>
          <w:rFonts w:ascii="Arial" w:eastAsia="宋体" w:hAnsi="Arial" w:cs="Arial"/>
          <w:color w:val="000000" w:themeColor="text1"/>
          <w:sz w:val="24"/>
        </w:rPr>
        <w:t xml:space="preserve"> </w:t>
      </w:r>
      <w:bookmarkStart w:id="18" w:name="_Hlk210075893"/>
      <w:r w:rsidR="009E443F" w:rsidRPr="009E443F">
        <w:rPr>
          <w:rFonts w:ascii="Arial" w:eastAsia="宋体" w:hAnsi="Arial" w:cs="Arial"/>
          <w:color w:val="000000" w:themeColor="text1"/>
          <w:sz w:val="24"/>
        </w:rPr>
        <w:t>guarding, shaking</w:t>
      </w:r>
      <w:bookmarkEnd w:id="18"/>
      <w:r w:rsidR="009E443F">
        <w:rPr>
          <w:rFonts w:ascii="Arial" w:eastAsia="宋体" w:hAnsi="Arial" w:cs="Arial" w:hint="eastAsia"/>
          <w:color w:val="000000" w:themeColor="text1"/>
          <w:sz w:val="24"/>
        </w:rPr>
        <w:t xml:space="preserve"> </w:t>
      </w:r>
      <w:r>
        <w:rPr>
          <w:rFonts w:ascii="Arial" w:eastAsia="宋体" w:hAnsi="Arial" w:cs="Arial"/>
          <w:color w:val="000000" w:themeColor="text1"/>
          <w:sz w:val="24"/>
        </w:rPr>
        <w:t xml:space="preserve">or jumping was recorded with a 30-second cutoff to prevent tissue damage. </w:t>
      </w:r>
    </w:p>
    <w:p w14:paraId="603ADDAA" w14:textId="77777777" w:rsidR="005C2DB5" w:rsidRDefault="00000000">
      <w:pPr>
        <w:spacing w:line="480" w:lineRule="auto"/>
        <w:rPr>
          <w:rFonts w:ascii="Arial" w:eastAsia="宋体" w:hAnsi="Arial" w:cs="Arial"/>
          <w:color w:val="000000" w:themeColor="text1"/>
          <w:sz w:val="24"/>
        </w:rPr>
      </w:pPr>
      <w:r>
        <w:rPr>
          <w:rFonts w:ascii="Arial" w:eastAsia="宋体" w:hAnsi="Arial" w:cs="Arial"/>
          <w:color w:val="000000" w:themeColor="text1"/>
          <w:sz w:val="24"/>
        </w:rPr>
        <w:t xml:space="preserve">Blinding </w:t>
      </w:r>
      <w:r>
        <w:rPr>
          <w:rFonts w:ascii="Arial" w:eastAsia="宋体" w:hAnsi="Arial" w:cs="Arial" w:hint="eastAsia"/>
          <w:color w:val="000000" w:themeColor="text1"/>
          <w:sz w:val="24"/>
        </w:rPr>
        <w:t>p</w:t>
      </w:r>
      <w:r>
        <w:rPr>
          <w:rFonts w:ascii="Arial" w:eastAsia="宋体" w:hAnsi="Arial" w:cs="Arial"/>
          <w:color w:val="000000" w:themeColor="text1"/>
          <w:sz w:val="24"/>
        </w:rPr>
        <w:t>rocedures</w:t>
      </w:r>
    </w:p>
    <w:p w14:paraId="4D56A24A" w14:textId="1F9284CE" w:rsidR="005C2DB5" w:rsidRDefault="00000000">
      <w:pPr>
        <w:spacing w:line="480" w:lineRule="auto"/>
        <w:rPr>
          <w:rFonts w:ascii="Arial" w:eastAsia="宋体" w:hAnsi="Arial" w:cs="Arial"/>
          <w:color w:val="000000" w:themeColor="text1"/>
          <w:sz w:val="24"/>
        </w:rPr>
      </w:pPr>
      <w:r>
        <w:rPr>
          <w:rFonts w:ascii="Arial" w:eastAsia="宋体" w:hAnsi="Arial" w:cs="Arial"/>
          <w:color w:val="000000" w:themeColor="text1"/>
          <w:sz w:val="24"/>
        </w:rPr>
        <w:t xml:space="preserve">To minimize potential bias in experimental procedures and outcome </w:t>
      </w:r>
      <w:r>
        <w:rPr>
          <w:rFonts w:ascii="Arial" w:eastAsia="宋体" w:hAnsi="Arial" w:cs="Arial"/>
          <w:color w:val="000000" w:themeColor="text1"/>
          <w:sz w:val="24"/>
        </w:rPr>
        <w:lastRenderedPageBreak/>
        <w:t>assessments, rigorous blinding protocols were implemented throughout this study. During treatment administration, the investigator performing intra-articular injections (CLD Lips or CTRL Lips) was blinded to the content of the syringes, which were prepared and coded by an independent researcher. To mitigate potential bias, the PBM device parameters (wavelength, power density</w:t>
      </w:r>
      <w:r w:rsidR="00900FD6">
        <w:rPr>
          <w:rFonts w:ascii="Arial" w:eastAsia="宋体" w:hAnsi="Arial" w:cs="Arial" w:hint="eastAsia"/>
          <w:color w:val="000000" w:themeColor="text1"/>
          <w:sz w:val="24"/>
        </w:rPr>
        <w:t xml:space="preserve"> </w:t>
      </w:r>
      <w:r>
        <w:rPr>
          <w:rFonts w:ascii="Arial" w:eastAsia="宋体" w:hAnsi="Arial" w:cs="Arial"/>
          <w:color w:val="000000" w:themeColor="text1"/>
          <w:sz w:val="24"/>
        </w:rPr>
        <w:t>and treatment duration) were pre-programmed and standardized across all sessions to eliminate operator-induced variability. Furthermore, all outcome assessments were conducted by investigators blinded to group assignments. Histological evaluation of cartilage/synovium and subchondral bone analysis via micro-CT were conducted in a blinded fashion and confirmed by an independent blinded observer. Behavioral pain tests were carried out with the experimenter unaware of the group identities. Statistical analysis was performed by a blinded biostatistician</w:t>
      </w:r>
      <w:r>
        <w:rPr>
          <w:rFonts w:ascii="Arial" w:eastAsia="宋体" w:hAnsi="Arial" w:cs="Arial" w:hint="eastAsia"/>
          <w:color w:val="000000" w:themeColor="text1"/>
          <w:sz w:val="24"/>
        </w:rPr>
        <w:t xml:space="preserve">, </w:t>
      </w:r>
      <w:r>
        <w:rPr>
          <w:rFonts w:ascii="Arial" w:eastAsia="宋体" w:hAnsi="Arial" w:cs="Arial"/>
          <w:color w:val="000000" w:themeColor="text1"/>
          <w:sz w:val="24"/>
        </w:rPr>
        <w:t xml:space="preserve">with group codes only revealed after completion of all analyses. </w:t>
      </w:r>
      <w:r>
        <w:rPr>
          <w:rFonts w:ascii="Arial" w:eastAsia="宋体" w:hAnsi="Arial" w:cs="Arial"/>
          <w:color w:val="000000" w:themeColor="text1"/>
          <w:sz w:val="24"/>
        </w:rPr>
        <w:br w:type="page"/>
      </w:r>
    </w:p>
    <w:p w14:paraId="0F9CE16E" w14:textId="77777777" w:rsidR="005C2DB5" w:rsidRDefault="00000000">
      <w:pPr>
        <w:widowControl/>
        <w:spacing w:line="480" w:lineRule="auto"/>
        <w:rPr>
          <w:rFonts w:ascii="Arial" w:eastAsia="宋体" w:hAnsi="Arial" w:cs="Arial"/>
          <w:b/>
          <w:bCs/>
          <w:color w:val="000000" w:themeColor="text1"/>
          <w:sz w:val="24"/>
        </w:rPr>
      </w:pPr>
      <w:r>
        <w:rPr>
          <w:rFonts w:ascii="Arial" w:eastAsia="宋体" w:hAnsi="Arial" w:cs="Arial"/>
          <w:b/>
          <w:bCs/>
          <w:color w:val="000000" w:themeColor="text1"/>
          <w:sz w:val="24"/>
        </w:rPr>
        <w:lastRenderedPageBreak/>
        <w:t>Supplementary figure</w:t>
      </w:r>
    </w:p>
    <w:p w14:paraId="1080E5B2" w14:textId="4E1F6662" w:rsidR="005C2DB5" w:rsidRDefault="002C7B18">
      <w:pPr>
        <w:widowControl/>
        <w:spacing w:line="480" w:lineRule="auto"/>
        <w:rPr>
          <w:rFonts w:ascii="Arial" w:eastAsia="宋体" w:hAnsi="Arial" w:cs="Arial"/>
          <w:color w:val="000000" w:themeColor="text1"/>
          <w:sz w:val="24"/>
        </w:rPr>
      </w:pPr>
      <w:r>
        <w:rPr>
          <w:rFonts w:ascii="Arial" w:eastAsia="宋体" w:hAnsi="Arial" w:cs="Arial"/>
          <w:noProof/>
          <w:color w:val="000000" w:themeColor="text1"/>
          <w:sz w:val="24"/>
        </w:rPr>
        <w:drawing>
          <wp:inline distT="0" distB="0" distL="0" distR="0" wp14:anchorId="25A7A408" wp14:editId="01603B67">
            <wp:extent cx="5274310" cy="5274310"/>
            <wp:effectExtent l="0" t="0" r="2540" b="2540"/>
            <wp:docPr id="67147617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76173" name="图片 1" descr="图示&#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3BF8A200" w14:textId="5012495D" w:rsidR="005C2DB5" w:rsidRDefault="00000000">
      <w:pPr>
        <w:widowControl/>
        <w:spacing w:line="480" w:lineRule="auto"/>
        <w:rPr>
          <w:rFonts w:ascii="Arial" w:eastAsia="宋体" w:hAnsi="Arial" w:cs="Arial"/>
          <w:color w:val="000000" w:themeColor="text1"/>
          <w:sz w:val="24"/>
        </w:rPr>
      </w:pPr>
      <w:r>
        <w:rPr>
          <w:rFonts w:ascii="Arial" w:eastAsia="宋体" w:hAnsi="Arial" w:cs="Arial"/>
          <w:color w:val="000000" w:themeColor="text1"/>
          <w:sz w:val="24"/>
        </w:rPr>
        <w:t>Fig.S1 Single</w:t>
      </w:r>
      <w:r>
        <w:rPr>
          <w:rFonts w:ascii="Arial" w:eastAsia="宋体" w:hAnsi="Arial" w:cs="Arial" w:hint="eastAsia"/>
          <w:color w:val="000000" w:themeColor="text1"/>
          <w:sz w:val="24"/>
        </w:rPr>
        <w:t>-</w:t>
      </w:r>
      <w:r>
        <w:rPr>
          <w:rFonts w:ascii="Arial" w:eastAsia="宋体" w:hAnsi="Arial" w:cs="Arial"/>
          <w:color w:val="000000" w:themeColor="text1"/>
          <w:sz w:val="24"/>
        </w:rPr>
        <w:t>cell RNA</w:t>
      </w:r>
      <w:r>
        <w:rPr>
          <w:rFonts w:ascii="Arial" w:eastAsia="宋体" w:hAnsi="Arial" w:cs="Arial" w:hint="eastAsia"/>
          <w:color w:val="000000" w:themeColor="text1"/>
          <w:sz w:val="24"/>
        </w:rPr>
        <w:t>-</w:t>
      </w:r>
      <w:r>
        <w:rPr>
          <w:rFonts w:ascii="Arial" w:eastAsia="宋体" w:hAnsi="Arial" w:cs="Arial"/>
          <w:color w:val="000000" w:themeColor="text1"/>
          <w:sz w:val="24"/>
        </w:rPr>
        <w:t xml:space="preserve">seq data preprocessing. </w:t>
      </w:r>
      <w:bookmarkStart w:id="19" w:name="_Hlk210077182"/>
      <w:r>
        <w:rPr>
          <w:rFonts w:ascii="Arial" w:eastAsia="宋体" w:hAnsi="Arial" w:cs="Arial" w:hint="eastAsia"/>
          <w:color w:val="000000" w:themeColor="text1"/>
          <w:sz w:val="24"/>
        </w:rPr>
        <w:t>(A) Visualization of the dataset before quality control</w:t>
      </w:r>
      <w:r w:rsidR="00900FD6" w:rsidRPr="00900FD6">
        <w:rPr>
          <w:rFonts w:ascii="Times New Roman" w:hAnsi="Times New Roman" w:cs="Times New Roman"/>
          <w:color w:val="5E5E5E"/>
          <w:sz w:val="27"/>
          <w:szCs w:val="27"/>
        </w:rPr>
        <w:t xml:space="preserve"> </w:t>
      </w:r>
      <w:r w:rsidR="00900FD6" w:rsidRPr="00900FD6">
        <w:rPr>
          <w:rFonts w:ascii="Arial" w:eastAsia="宋体" w:hAnsi="Arial" w:cs="Arial"/>
          <w:color w:val="000000" w:themeColor="text1"/>
          <w:sz w:val="24"/>
        </w:rPr>
        <w:t>process</w:t>
      </w:r>
      <w:r>
        <w:rPr>
          <w:rFonts w:ascii="Arial" w:eastAsia="宋体" w:hAnsi="Arial" w:cs="Arial" w:hint="eastAsia"/>
          <w:color w:val="000000" w:themeColor="text1"/>
          <w:sz w:val="24"/>
        </w:rPr>
        <w:t>. (B) Visualization of the dataset after quality control</w:t>
      </w:r>
      <w:r w:rsidR="00900FD6" w:rsidRPr="00900FD6">
        <w:rPr>
          <w:rFonts w:ascii="Times New Roman" w:hAnsi="Times New Roman" w:cs="Times New Roman"/>
          <w:color w:val="5E5E5E"/>
          <w:sz w:val="27"/>
          <w:szCs w:val="27"/>
        </w:rPr>
        <w:t xml:space="preserve"> </w:t>
      </w:r>
      <w:r w:rsidR="00900FD6" w:rsidRPr="00900FD6">
        <w:rPr>
          <w:rFonts w:ascii="Arial" w:eastAsia="宋体" w:hAnsi="Arial" w:cs="Arial"/>
          <w:color w:val="000000" w:themeColor="text1"/>
          <w:sz w:val="24"/>
        </w:rPr>
        <w:t>process</w:t>
      </w:r>
      <w:r>
        <w:rPr>
          <w:rFonts w:ascii="Arial" w:eastAsia="宋体" w:hAnsi="Arial" w:cs="Arial" w:hint="eastAsia"/>
          <w:color w:val="000000" w:themeColor="text1"/>
          <w:sz w:val="24"/>
        </w:rPr>
        <w:t>.</w:t>
      </w:r>
      <w:r>
        <w:rPr>
          <w:rFonts w:ascii="Arial" w:eastAsia="宋体" w:hAnsi="Arial" w:cs="Arial"/>
          <w:color w:val="000000" w:themeColor="text1"/>
          <w:sz w:val="24"/>
        </w:rPr>
        <w:t xml:space="preserve"> </w:t>
      </w:r>
      <w:r w:rsidR="002C7B18">
        <w:rPr>
          <w:rFonts w:ascii="Arial" w:eastAsia="宋体" w:hAnsi="Arial" w:cs="Arial" w:hint="eastAsia"/>
          <w:color w:val="000000" w:themeColor="text1"/>
          <w:sz w:val="24"/>
        </w:rPr>
        <w:t>(C)</w:t>
      </w:r>
      <w:r w:rsidR="002C7B18" w:rsidRPr="002C7B18">
        <w:t xml:space="preserve"> </w:t>
      </w:r>
      <w:r w:rsidR="002C7B18" w:rsidRPr="002C7B18">
        <w:rPr>
          <w:rFonts w:ascii="Arial" w:eastAsia="宋体" w:hAnsi="Arial" w:cs="Arial"/>
          <w:color w:val="000000" w:themeColor="text1"/>
          <w:sz w:val="24"/>
        </w:rPr>
        <w:t>Cell Cluster Map</w:t>
      </w:r>
      <w:r w:rsidR="002C7B18">
        <w:rPr>
          <w:rFonts w:ascii="Arial" w:eastAsia="宋体" w:hAnsi="Arial" w:cs="Arial" w:hint="eastAsia"/>
          <w:color w:val="000000" w:themeColor="text1"/>
          <w:sz w:val="24"/>
        </w:rPr>
        <w:t>.</w:t>
      </w:r>
      <w:r w:rsidR="002C7B18" w:rsidRPr="002C7B18">
        <w:rPr>
          <w:rFonts w:ascii="Arial" w:eastAsia="宋体" w:hAnsi="Arial" w:cs="Arial" w:hint="eastAsia"/>
          <w:color w:val="000000" w:themeColor="text1"/>
          <w:sz w:val="24"/>
        </w:rPr>
        <w:t xml:space="preserve"> </w:t>
      </w:r>
      <w:r w:rsidR="002C7B18">
        <w:rPr>
          <w:rFonts w:ascii="Arial" w:eastAsia="宋体" w:hAnsi="Arial" w:cs="Arial" w:hint="eastAsia"/>
          <w:color w:val="000000" w:themeColor="text1"/>
          <w:sz w:val="24"/>
        </w:rPr>
        <w:t xml:space="preserve">(D) </w:t>
      </w:r>
      <w:r w:rsidR="002C7B18" w:rsidRPr="002C7B18">
        <w:rPr>
          <w:rFonts w:ascii="Arial" w:eastAsia="宋体" w:hAnsi="Arial" w:cs="Arial"/>
          <w:color w:val="000000" w:themeColor="text1"/>
          <w:sz w:val="24"/>
        </w:rPr>
        <w:t>The sample origin of the cells.</w:t>
      </w:r>
      <w:r w:rsidR="002C7B18">
        <w:rPr>
          <w:rFonts w:ascii="Arial" w:eastAsia="宋体" w:hAnsi="Arial" w:cs="Arial" w:hint="eastAsia"/>
          <w:color w:val="000000" w:themeColor="text1"/>
          <w:sz w:val="24"/>
        </w:rPr>
        <w:t xml:space="preserve"> </w:t>
      </w:r>
      <w:r>
        <w:rPr>
          <w:rFonts w:ascii="Arial" w:eastAsia="宋体" w:hAnsi="Arial" w:cs="Arial"/>
          <w:color w:val="000000" w:themeColor="text1"/>
          <w:sz w:val="24"/>
        </w:rPr>
        <w:t>(</w:t>
      </w:r>
      <w:r w:rsidR="002C7B18">
        <w:rPr>
          <w:rFonts w:ascii="Arial" w:eastAsia="宋体" w:hAnsi="Arial" w:cs="Arial" w:hint="eastAsia"/>
          <w:color w:val="000000" w:themeColor="text1"/>
          <w:sz w:val="24"/>
        </w:rPr>
        <w:t>E</w:t>
      </w:r>
      <w:r>
        <w:rPr>
          <w:rFonts w:ascii="Arial" w:eastAsia="宋体" w:hAnsi="Arial" w:cs="Arial"/>
          <w:color w:val="000000" w:themeColor="text1"/>
          <w:sz w:val="24"/>
        </w:rPr>
        <w:t>)</w:t>
      </w:r>
      <w:r w:rsidR="002C7B18">
        <w:rPr>
          <w:rFonts w:ascii="Arial" w:eastAsia="宋体" w:hAnsi="Arial" w:cs="Arial" w:hint="eastAsia"/>
          <w:color w:val="000000" w:themeColor="text1"/>
          <w:sz w:val="24"/>
        </w:rPr>
        <w:t xml:space="preserve"> and (F)</w:t>
      </w:r>
      <w:r>
        <w:rPr>
          <w:rFonts w:ascii="Arial" w:eastAsia="宋体" w:hAnsi="Arial" w:cs="Arial"/>
          <w:color w:val="000000" w:themeColor="text1"/>
          <w:sz w:val="24"/>
        </w:rPr>
        <w:t xml:space="preserve"> </w:t>
      </w:r>
      <w:r w:rsidR="002C7B18" w:rsidRPr="002C7B18">
        <w:rPr>
          <w:rFonts w:ascii="Arial" w:eastAsia="宋体" w:hAnsi="Arial" w:cs="Arial"/>
          <w:color w:val="000000" w:themeColor="text1"/>
          <w:sz w:val="24"/>
        </w:rPr>
        <w:t>Highly Variable Genes</w:t>
      </w:r>
      <w:r>
        <w:rPr>
          <w:rFonts w:ascii="Arial" w:eastAsia="宋体" w:hAnsi="Arial" w:cs="Arial"/>
          <w:color w:val="000000" w:themeColor="text1"/>
          <w:sz w:val="24"/>
        </w:rPr>
        <w:t>.</w:t>
      </w:r>
      <w:bookmarkEnd w:id="19"/>
      <w:r>
        <w:rPr>
          <w:rFonts w:ascii="Arial" w:eastAsia="宋体" w:hAnsi="Arial" w:cs="Arial"/>
          <w:color w:val="000000" w:themeColor="text1"/>
          <w:sz w:val="24"/>
        </w:rPr>
        <w:t xml:space="preserve"> </w:t>
      </w:r>
    </w:p>
    <w:p w14:paraId="4C6BA6A7" w14:textId="77777777" w:rsidR="005C2DB5" w:rsidRDefault="005C2DB5">
      <w:pPr>
        <w:widowControl/>
        <w:spacing w:line="480" w:lineRule="auto"/>
        <w:rPr>
          <w:rFonts w:ascii="Arial" w:eastAsia="宋体" w:hAnsi="Arial" w:cs="Arial"/>
          <w:color w:val="000000" w:themeColor="text1"/>
          <w:sz w:val="24"/>
        </w:rPr>
      </w:pPr>
    </w:p>
    <w:p w14:paraId="58E5278A" w14:textId="77777777" w:rsidR="005C2DB5" w:rsidRDefault="005C2DB5">
      <w:pPr>
        <w:widowControl/>
        <w:spacing w:line="480" w:lineRule="auto"/>
        <w:rPr>
          <w:rFonts w:ascii="Arial" w:eastAsia="宋体" w:hAnsi="Arial" w:cs="Arial"/>
          <w:color w:val="000000" w:themeColor="text1"/>
          <w:sz w:val="24"/>
        </w:rPr>
      </w:pPr>
    </w:p>
    <w:p w14:paraId="6A2AAEEC" w14:textId="77777777" w:rsidR="005C2DB5" w:rsidRDefault="005C2DB5">
      <w:pPr>
        <w:widowControl/>
        <w:spacing w:line="480" w:lineRule="auto"/>
        <w:rPr>
          <w:rFonts w:ascii="Arial" w:eastAsia="宋体" w:hAnsi="Arial" w:cs="Arial"/>
          <w:color w:val="000000" w:themeColor="text1"/>
          <w:sz w:val="24"/>
        </w:rPr>
      </w:pPr>
    </w:p>
    <w:p w14:paraId="0285931E" w14:textId="77777777" w:rsidR="005C2DB5" w:rsidRDefault="005C2DB5">
      <w:pPr>
        <w:widowControl/>
        <w:spacing w:line="480" w:lineRule="auto"/>
        <w:rPr>
          <w:rFonts w:ascii="Arial" w:eastAsia="宋体" w:hAnsi="Arial" w:cs="Arial"/>
          <w:color w:val="000000" w:themeColor="text1"/>
          <w:sz w:val="24"/>
        </w:rPr>
      </w:pPr>
    </w:p>
    <w:p w14:paraId="59699148" w14:textId="0287B2AE" w:rsidR="005C2DB5" w:rsidRDefault="00974B87">
      <w:pPr>
        <w:widowControl/>
        <w:spacing w:line="480" w:lineRule="auto"/>
        <w:rPr>
          <w:rFonts w:ascii="Arial" w:eastAsia="宋体" w:hAnsi="Arial" w:cs="Arial"/>
          <w:color w:val="000000" w:themeColor="text1"/>
          <w:sz w:val="24"/>
        </w:rPr>
      </w:pPr>
      <w:r>
        <w:rPr>
          <w:rFonts w:ascii="Arial" w:eastAsia="宋体" w:hAnsi="Arial" w:cs="Arial"/>
          <w:noProof/>
          <w:color w:val="000000" w:themeColor="text1"/>
          <w:sz w:val="24"/>
        </w:rPr>
        <w:lastRenderedPageBreak/>
        <w:drawing>
          <wp:inline distT="0" distB="0" distL="0" distR="0" wp14:anchorId="2ADE6825" wp14:editId="12E1FC65">
            <wp:extent cx="5274310" cy="6228080"/>
            <wp:effectExtent l="0" t="0" r="2540" b="1270"/>
            <wp:docPr id="38783017"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3017" name="图片 1" descr="图示&#10;&#10;AI 生成的内容可能不正确。"/>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228080"/>
                    </a:xfrm>
                    <a:prstGeom prst="rect">
                      <a:avLst/>
                    </a:prstGeom>
                  </pic:spPr>
                </pic:pic>
              </a:graphicData>
            </a:graphic>
          </wp:inline>
        </w:drawing>
      </w:r>
    </w:p>
    <w:p w14:paraId="48E5440F" w14:textId="671A1ED8" w:rsidR="005C2DB5" w:rsidRPr="002C7B18" w:rsidRDefault="00000000" w:rsidP="002C7B18">
      <w:pPr>
        <w:pStyle w:val="EndNoteBibliography"/>
        <w:spacing w:line="480" w:lineRule="auto"/>
        <w:rPr>
          <w:rFonts w:ascii="Arial" w:eastAsia="宋体" w:hAnsi="Arial" w:cs="Arial"/>
          <w:sz w:val="24"/>
        </w:rPr>
      </w:pPr>
      <w:r>
        <w:rPr>
          <w:rFonts w:ascii="Arial" w:eastAsia="宋体" w:hAnsi="Arial" w:cs="Arial"/>
          <w:color w:val="000000" w:themeColor="text1"/>
          <w:sz w:val="24"/>
        </w:rPr>
        <w:t>Fig.S</w:t>
      </w:r>
      <w:r>
        <w:rPr>
          <w:rFonts w:ascii="Arial" w:eastAsia="宋体" w:hAnsi="Arial" w:cs="Arial" w:hint="eastAsia"/>
          <w:color w:val="000000" w:themeColor="text1"/>
          <w:sz w:val="24"/>
        </w:rPr>
        <w:t>2</w:t>
      </w:r>
      <w:r>
        <w:rPr>
          <w:rFonts w:ascii="Arial" w:eastAsia="宋体" w:hAnsi="Arial" w:cs="Arial"/>
          <w:sz w:val="24"/>
        </w:rPr>
        <w:t xml:space="preserve"> (</w:t>
      </w:r>
      <w:r>
        <w:rPr>
          <w:rFonts w:ascii="Arial" w:eastAsia="宋体" w:hAnsi="Arial" w:cs="Arial" w:hint="eastAsia"/>
          <w:sz w:val="24"/>
        </w:rPr>
        <w:t>A</w:t>
      </w:r>
      <w:r>
        <w:rPr>
          <w:rFonts w:ascii="Arial" w:eastAsia="宋体" w:hAnsi="Arial" w:cs="Arial"/>
          <w:sz w:val="24"/>
        </w:rPr>
        <w:t>) The protein levels of MMP13, ADAMTS5, JAK1, JAK2, STAT3, P-STAT3</w:t>
      </w:r>
      <w:r>
        <w:rPr>
          <w:rFonts w:ascii="Arial" w:eastAsia="宋体" w:hAnsi="Arial" w:cs="Arial" w:hint="eastAsia"/>
          <w:sz w:val="24"/>
        </w:rPr>
        <w:t>.</w:t>
      </w:r>
      <w:r>
        <w:rPr>
          <w:rFonts w:ascii="Arial" w:eastAsia="宋体" w:hAnsi="Arial" w:cs="Arial"/>
          <w:sz w:val="24"/>
        </w:rPr>
        <w:t xml:space="preserve"> β-</w:t>
      </w:r>
      <w:r w:rsidR="002C7B18">
        <w:rPr>
          <w:rFonts w:ascii="Arial" w:eastAsia="宋体" w:hAnsi="Arial" w:cs="Arial" w:hint="eastAsia"/>
          <w:sz w:val="24"/>
        </w:rPr>
        <w:t>a</w:t>
      </w:r>
      <w:r>
        <w:rPr>
          <w:rFonts w:ascii="Arial" w:eastAsia="宋体" w:hAnsi="Arial" w:cs="Arial"/>
          <w:sz w:val="24"/>
        </w:rPr>
        <w:t>ctin was used as an internal loading control</w:t>
      </w:r>
      <w:r>
        <w:rPr>
          <w:rFonts w:ascii="Arial" w:eastAsia="宋体" w:hAnsi="Arial" w:cs="Arial" w:hint="eastAsia"/>
          <w:sz w:val="24"/>
        </w:rPr>
        <w:t xml:space="preserve"> (n=3). </w:t>
      </w:r>
      <w:r>
        <w:rPr>
          <w:rFonts w:ascii="Arial" w:eastAsia="宋体" w:hAnsi="Arial" w:cs="Arial"/>
          <w:sz w:val="24"/>
        </w:rPr>
        <w:t>(</w:t>
      </w:r>
      <w:r>
        <w:rPr>
          <w:rFonts w:ascii="Arial" w:eastAsia="宋体" w:hAnsi="Arial" w:cs="Arial" w:hint="eastAsia"/>
          <w:sz w:val="24"/>
        </w:rPr>
        <w:t>B</w:t>
      </w:r>
      <w:r>
        <w:rPr>
          <w:rFonts w:ascii="Arial" w:eastAsia="宋体" w:hAnsi="Arial" w:cs="Arial"/>
          <w:sz w:val="24"/>
        </w:rPr>
        <w:t>) The contents of IL-6 in the supernatant were tested by ELISA</w:t>
      </w:r>
      <w:r>
        <w:rPr>
          <w:rFonts w:ascii="Arial" w:eastAsia="宋体" w:hAnsi="Arial" w:cs="Arial" w:hint="eastAsia"/>
          <w:sz w:val="24"/>
        </w:rPr>
        <w:t xml:space="preserve"> (n=4)</w:t>
      </w:r>
      <w:r>
        <w:rPr>
          <w:rFonts w:ascii="Arial" w:eastAsia="宋体" w:hAnsi="Arial" w:cs="Arial"/>
          <w:sz w:val="24"/>
        </w:rPr>
        <w:t xml:space="preserve">. </w:t>
      </w:r>
      <w:r>
        <w:rPr>
          <w:rFonts w:ascii="Arial" w:eastAsia="宋体" w:hAnsi="Arial" w:cs="Arial" w:hint="eastAsia"/>
          <w:sz w:val="24"/>
        </w:rPr>
        <w:t>(C-E</w:t>
      </w:r>
      <w:r>
        <w:rPr>
          <w:rFonts w:ascii="Arial" w:eastAsia="宋体" w:hAnsi="Arial" w:cs="Arial"/>
          <w:sz w:val="24"/>
        </w:rPr>
        <w:t xml:space="preserve">) </w:t>
      </w:r>
      <w:r>
        <w:rPr>
          <w:rFonts w:ascii="Arial" w:eastAsia="宋体" w:hAnsi="Arial" w:cs="Arial" w:hint="eastAsia"/>
          <w:sz w:val="24"/>
        </w:rPr>
        <w:t>T</w:t>
      </w:r>
      <w:r>
        <w:rPr>
          <w:rFonts w:ascii="Arial" w:eastAsia="宋体" w:hAnsi="Arial" w:cs="Arial"/>
          <w:sz w:val="24"/>
        </w:rPr>
        <w:t>he mRNA relative expression of STAT3,</w:t>
      </w:r>
      <w:r>
        <w:rPr>
          <w:rFonts w:ascii="Arial" w:eastAsia="宋体" w:hAnsi="Arial" w:cs="Arial" w:hint="eastAsia"/>
          <w:sz w:val="24"/>
        </w:rPr>
        <w:t xml:space="preserve"> </w:t>
      </w:r>
      <w:r>
        <w:rPr>
          <w:rFonts w:ascii="Arial" w:eastAsia="宋体" w:hAnsi="Arial" w:cs="Arial"/>
          <w:sz w:val="24"/>
        </w:rPr>
        <w:t>MMP13, ADAMTS5</w:t>
      </w:r>
      <w:r>
        <w:rPr>
          <w:rFonts w:ascii="Arial" w:eastAsia="宋体" w:hAnsi="Arial" w:cs="Arial" w:hint="eastAsia"/>
          <w:sz w:val="24"/>
        </w:rPr>
        <w:t xml:space="preserve">. </w:t>
      </w:r>
      <w:r>
        <w:rPr>
          <w:rFonts w:ascii="Arial" w:eastAsia="宋体" w:hAnsi="Arial" w:cs="Arial"/>
          <w:sz w:val="24"/>
        </w:rPr>
        <w:t>GAPDH was used as a reference gene</w:t>
      </w:r>
      <w:r>
        <w:rPr>
          <w:rFonts w:ascii="Arial" w:eastAsia="宋体" w:hAnsi="Arial" w:cs="Arial" w:hint="eastAsia"/>
          <w:sz w:val="24"/>
        </w:rPr>
        <w:t xml:space="preserve"> (n=3)</w:t>
      </w:r>
      <w:r>
        <w:rPr>
          <w:rFonts w:ascii="Arial" w:eastAsia="宋体" w:hAnsi="Arial" w:cs="Arial"/>
          <w:sz w:val="24"/>
        </w:rPr>
        <w:t xml:space="preserve">. </w:t>
      </w:r>
      <w:r>
        <w:rPr>
          <w:rFonts w:ascii="Arial" w:eastAsia="宋体" w:hAnsi="Arial" w:cs="Arial" w:hint="eastAsia"/>
          <w:sz w:val="24"/>
        </w:rPr>
        <w:t>(F) B</w:t>
      </w:r>
      <w:r>
        <w:rPr>
          <w:rFonts w:ascii="Arial" w:eastAsia="宋体" w:hAnsi="Arial" w:cs="Arial"/>
          <w:sz w:val="24"/>
        </w:rPr>
        <w:t>ody weight of animals during the experimental period</w:t>
      </w:r>
      <w:r>
        <w:rPr>
          <w:rFonts w:ascii="Arial" w:eastAsia="宋体" w:hAnsi="Arial" w:cs="Arial" w:hint="eastAsia"/>
          <w:sz w:val="24"/>
        </w:rPr>
        <w:t xml:space="preserve"> (n=1</w:t>
      </w:r>
      <w:r w:rsidR="00EF5DE2">
        <w:rPr>
          <w:rFonts w:ascii="Arial" w:eastAsia="宋体" w:hAnsi="Arial" w:cs="Arial" w:hint="eastAsia"/>
          <w:sz w:val="24"/>
        </w:rPr>
        <w:t>0</w:t>
      </w:r>
      <w:r>
        <w:rPr>
          <w:rFonts w:ascii="Arial" w:eastAsia="宋体" w:hAnsi="Arial" w:cs="Arial" w:hint="eastAsia"/>
          <w:sz w:val="24"/>
        </w:rPr>
        <w:t>).</w:t>
      </w:r>
      <w:r>
        <w:rPr>
          <w:rFonts w:ascii="Arial" w:eastAsia="宋体" w:hAnsi="Arial" w:cs="Arial"/>
          <w:sz w:val="24"/>
        </w:rPr>
        <w:t xml:space="preserve"> (</w:t>
      </w:r>
      <w:bookmarkStart w:id="20" w:name="_Hlk211270435"/>
      <w:r w:rsidR="004C34EC" w:rsidRPr="004C34EC">
        <w:rPr>
          <w:rFonts w:ascii="Arial" w:eastAsia="宋体" w:hAnsi="Arial" w:cs="Arial" w:hint="eastAsia"/>
          <w:sz w:val="24"/>
        </w:rPr>
        <w:t>Data are presented as mean</w:t>
      </w:r>
      <w:r w:rsidR="004C34EC" w:rsidRPr="004C34EC">
        <w:rPr>
          <w:rFonts w:ascii="Arial" w:eastAsia="宋体" w:hAnsi="Arial" w:cs="Arial"/>
          <w:sz w:val="24"/>
        </w:rPr>
        <w:t xml:space="preserve"> ± </w:t>
      </w:r>
      <w:r w:rsidR="004C34EC" w:rsidRPr="004C34EC">
        <w:rPr>
          <w:rFonts w:ascii="Arial" w:eastAsia="宋体" w:hAnsi="Arial" w:cs="Arial" w:hint="eastAsia"/>
          <w:sz w:val="24"/>
        </w:rPr>
        <w:t>SD</w:t>
      </w:r>
      <w:r w:rsidR="004C34EC">
        <w:rPr>
          <w:rFonts w:ascii="Arial" w:eastAsia="宋体" w:hAnsi="Arial" w:cs="Arial" w:hint="eastAsia"/>
          <w:sz w:val="24"/>
        </w:rPr>
        <w:t xml:space="preserve">; </w:t>
      </w:r>
      <w:r w:rsidR="004C34EC" w:rsidRPr="004C34EC">
        <w:rPr>
          <w:rFonts w:ascii="Arial" w:eastAsia="宋体" w:hAnsi="Arial" w:cs="Arial"/>
          <w:sz w:val="24"/>
        </w:rPr>
        <w:t xml:space="preserve">Statistical significance was determined </w:t>
      </w:r>
      <w:r w:rsidR="004C34EC" w:rsidRPr="004C34EC">
        <w:rPr>
          <w:rFonts w:ascii="Arial" w:eastAsia="宋体" w:hAnsi="Arial" w:cs="Arial"/>
          <w:sz w:val="24"/>
        </w:rPr>
        <w:lastRenderedPageBreak/>
        <w:t>by one-way ANOVA followed by Tukey's post-hoc test</w:t>
      </w:r>
      <w:r w:rsidR="004C34EC">
        <w:rPr>
          <w:rFonts w:ascii="Arial" w:eastAsia="宋体" w:hAnsi="Arial" w:cs="Arial" w:hint="eastAsia"/>
          <w:sz w:val="24"/>
        </w:rPr>
        <w:t xml:space="preserve">; </w:t>
      </w:r>
      <w:bookmarkEnd w:id="20"/>
      <w:r>
        <w:rPr>
          <w:rFonts w:ascii="Arial" w:eastAsia="宋体" w:hAnsi="Arial" w:cs="Arial"/>
          <w:sz w:val="24"/>
        </w:rPr>
        <w:t>*</w:t>
      </w:r>
      <w:r>
        <w:rPr>
          <w:rFonts w:ascii="Arial" w:eastAsia="宋体" w:hAnsi="Arial" w:cs="Arial"/>
          <w:i/>
          <w:iCs/>
          <w:sz w:val="24"/>
        </w:rPr>
        <w:t>P</w:t>
      </w:r>
      <w:r>
        <w:rPr>
          <w:rFonts w:ascii="Arial" w:eastAsia="宋体" w:hAnsi="Arial" w:cs="Arial"/>
          <w:sz w:val="24"/>
        </w:rPr>
        <w:t xml:space="preserve"> &lt; 0.05, **</w:t>
      </w:r>
      <w:r>
        <w:rPr>
          <w:rFonts w:ascii="Arial" w:eastAsia="宋体" w:hAnsi="Arial" w:cs="Arial"/>
          <w:i/>
          <w:iCs/>
          <w:sz w:val="24"/>
        </w:rPr>
        <w:t>P</w:t>
      </w:r>
      <w:r>
        <w:rPr>
          <w:rFonts w:ascii="Arial" w:eastAsia="宋体" w:hAnsi="Arial" w:cs="Arial"/>
          <w:sz w:val="24"/>
        </w:rPr>
        <w:t xml:space="preserve"> &lt; 0.01, ***</w:t>
      </w:r>
      <w:r>
        <w:rPr>
          <w:rFonts w:ascii="Arial" w:eastAsia="宋体" w:hAnsi="Arial" w:cs="Arial"/>
          <w:i/>
          <w:iCs/>
          <w:sz w:val="24"/>
        </w:rPr>
        <w:t>P</w:t>
      </w:r>
      <w:r>
        <w:rPr>
          <w:rFonts w:ascii="Arial" w:eastAsia="宋体" w:hAnsi="Arial" w:cs="Arial"/>
          <w:sz w:val="24"/>
        </w:rPr>
        <w:t xml:space="preserve"> &lt; 0.001</w:t>
      </w:r>
      <w:r w:rsidR="00D96BF3">
        <w:rPr>
          <w:rFonts w:ascii="Arial" w:eastAsia="宋体" w:hAnsi="Arial" w:cs="Arial" w:hint="eastAsia"/>
          <w:sz w:val="24"/>
        </w:rPr>
        <w:t xml:space="preserve">, </w:t>
      </w:r>
      <w:r>
        <w:rPr>
          <w:rFonts w:ascii="Arial" w:eastAsia="宋体" w:hAnsi="Arial" w:cs="Arial"/>
          <w:sz w:val="24"/>
        </w:rPr>
        <w:t>****</w:t>
      </w:r>
      <w:r>
        <w:rPr>
          <w:rFonts w:ascii="Arial" w:eastAsia="宋体" w:hAnsi="Arial" w:cs="Arial"/>
          <w:i/>
          <w:iCs/>
          <w:sz w:val="24"/>
        </w:rPr>
        <w:t>P</w:t>
      </w:r>
      <w:r>
        <w:rPr>
          <w:rFonts w:ascii="Arial" w:eastAsia="宋体" w:hAnsi="Arial" w:cs="Arial"/>
          <w:sz w:val="24"/>
        </w:rPr>
        <w:t xml:space="preserve"> &lt; 0.0001</w:t>
      </w:r>
      <w:r>
        <w:rPr>
          <w:rFonts w:ascii="Arial" w:eastAsia="宋体" w:hAnsi="Arial" w:cs="Arial" w:hint="eastAsia"/>
          <w:sz w:val="24"/>
        </w:rPr>
        <w:t>)</w:t>
      </w:r>
    </w:p>
    <w:sectPr w:rsidR="005C2DB5" w:rsidRPr="002C7B18">
      <w:footerReference w:type="default" r:id="rId9"/>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B2AA8" w14:textId="77777777" w:rsidR="00CD618C" w:rsidRDefault="00CD618C">
      <w:r>
        <w:separator/>
      </w:r>
    </w:p>
  </w:endnote>
  <w:endnote w:type="continuationSeparator" w:id="0">
    <w:p w14:paraId="62378D08" w14:textId="77777777" w:rsidR="00CD618C" w:rsidRDefault="00CD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898433"/>
    </w:sdtPr>
    <w:sdtContent>
      <w:p w14:paraId="00BD5B01" w14:textId="77777777" w:rsidR="005C2DB5" w:rsidRDefault="00000000">
        <w:pPr>
          <w:pStyle w:val="a3"/>
          <w:jc w:val="center"/>
        </w:pPr>
        <w:r>
          <w:fldChar w:fldCharType="begin"/>
        </w:r>
        <w:r>
          <w:instrText>PAGE   \* MERGEFORMAT</w:instrText>
        </w:r>
        <w:r>
          <w:fldChar w:fldCharType="separate"/>
        </w:r>
        <w:r>
          <w:rPr>
            <w:lang w:val="zh-CN"/>
          </w:rPr>
          <w:t>2</w:t>
        </w:r>
        <w:r>
          <w:fldChar w:fldCharType="end"/>
        </w:r>
      </w:p>
    </w:sdtContent>
  </w:sdt>
  <w:p w14:paraId="7B58F8CC" w14:textId="77777777" w:rsidR="005C2DB5" w:rsidRDefault="005C2D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9CDDB" w14:textId="77777777" w:rsidR="00CD618C" w:rsidRDefault="00CD618C">
      <w:r>
        <w:separator/>
      </w:r>
    </w:p>
  </w:footnote>
  <w:footnote w:type="continuationSeparator" w:id="0">
    <w:p w14:paraId="55973204" w14:textId="77777777" w:rsidR="00CD618C" w:rsidRDefault="00CD61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mNhOTA4NDM3ODA5ZDUzYjU5Y2RlN2VlNGJjNzUwODkifQ=="/>
  </w:docVars>
  <w:rsids>
    <w:rsidRoot w:val="46844B9C"/>
    <w:rsid w:val="00061353"/>
    <w:rsid w:val="000B03FF"/>
    <w:rsid w:val="000B430E"/>
    <w:rsid w:val="0017052A"/>
    <w:rsid w:val="00175597"/>
    <w:rsid w:val="002007A5"/>
    <w:rsid w:val="00220F18"/>
    <w:rsid w:val="002242A5"/>
    <w:rsid w:val="00236F0C"/>
    <w:rsid w:val="002B1701"/>
    <w:rsid w:val="002C7B18"/>
    <w:rsid w:val="004922AD"/>
    <w:rsid w:val="004A7842"/>
    <w:rsid w:val="004C34EC"/>
    <w:rsid w:val="00570FA4"/>
    <w:rsid w:val="005B24D6"/>
    <w:rsid w:val="005B2AA4"/>
    <w:rsid w:val="005C2DB5"/>
    <w:rsid w:val="00646EF7"/>
    <w:rsid w:val="006C4E4E"/>
    <w:rsid w:val="006D1267"/>
    <w:rsid w:val="006D74FC"/>
    <w:rsid w:val="006F59BC"/>
    <w:rsid w:val="00705739"/>
    <w:rsid w:val="00705C9A"/>
    <w:rsid w:val="007230EC"/>
    <w:rsid w:val="00743D8B"/>
    <w:rsid w:val="008421A2"/>
    <w:rsid w:val="0085344B"/>
    <w:rsid w:val="00864F93"/>
    <w:rsid w:val="008D4E6F"/>
    <w:rsid w:val="00900FD6"/>
    <w:rsid w:val="00971B7C"/>
    <w:rsid w:val="00974B87"/>
    <w:rsid w:val="009A776B"/>
    <w:rsid w:val="009E443F"/>
    <w:rsid w:val="00A476AD"/>
    <w:rsid w:val="00A8617B"/>
    <w:rsid w:val="00AB3542"/>
    <w:rsid w:val="00AC6F27"/>
    <w:rsid w:val="00AD3FA6"/>
    <w:rsid w:val="00AF4FBA"/>
    <w:rsid w:val="00B1628B"/>
    <w:rsid w:val="00B7462F"/>
    <w:rsid w:val="00B940F5"/>
    <w:rsid w:val="00BE2DE9"/>
    <w:rsid w:val="00CD618C"/>
    <w:rsid w:val="00D1700C"/>
    <w:rsid w:val="00D42897"/>
    <w:rsid w:val="00D96BF3"/>
    <w:rsid w:val="00DB2806"/>
    <w:rsid w:val="00DD6582"/>
    <w:rsid w:val="00E72640"/>
    <w:rsid w:val="00EF1D37"/>
    <w:rsid w:val="00EF5DE2"/>
    <w:rsid w:val="00F259FD"/>
    <w:rsid w:val="00F95CDF"/>
    <w:rsid w:val="00FE4D71"/>
    <w:rsid w:val="033560A9"/>
    <w:rsid w:val="1EA629B9"/>
    <w:rsid w:val="20482782"/>
    <w:rsid w:val="2FA05DD4"/>
    <w:rsid w:val="319211D9"/>
    <w:rsid w:val="399B617A"/>
    <w:rsid w:val="42895CB7"/>
    <w:rsid w:val="439C027C"/>
    <w:rsid w:val="46844B9C"/>
    <w:rsid w:val="4A047744"/>
    <w:rsid w:val="4F0B18BC"/>
    <w:rsid w:val="50AA4B9C"/>
    <w:rsid w:val="54D17A33"/>
    <w:rsid w:val="54DB4275"/>
    <w:rsid w:val="5A734620"/>
    <w:rsid w:val="5ECF26F0"/>
    <w:rsid w:val="5FDD5D9D"/>
    <w:rsid w:val="627E0125"/>
    <w:rsid w:val="64367010"/>
    <w:rsid w:val="64EB04D3"/>
    <w:rsid w:val="664303D1"/>
    <w:rsid w:val="6BE56FD0"/>
    <w:rsid w:val="6F141779"/>
    <w:rsid w:val="7521074C"/>
    <w:rsid w:val="7A111922"/>
    <w:rsid w:val="7E4F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C9C35"/>
  <w15:docId w15:val="{16C757C2-1EF9-4808-8A6B-84E3F8BA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widowControl/>
      <w:spacing w:before="100" w:beforeAutospacing="1" w:after="100" w:afterAutospacing="1"/>
      <w:jc w:val="left"/>
    </w:pPr>
    <w:rPr>
      <w:rFonts w:ascii="Gulim" w:eastAsia="Gulim" w:hAnsi="Gulim"/>
      <w:kern w:val="0"/>
      <w:sz w:val="24"/>
      <w:lang w:val="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qFormat/>
    <w:rPr>
      <w:i/>
    </w:rPr>
  </w:style>
  <w:style w:type="character" w:styleId="a9">
    <w:name w:val="line number"/>
    <w:basedOn w:val="a0"/>
    <w:qFormat/>
  </w:style>
  <w:style w:type="character" w:styleId="aa">
    <w:name w:val="Hyperlink"/>
    <w:basedOn w:val="a0"/>
    <w:qFormat/>
    <w:rPr>
      <w:color w:val="0000FF"/>
      <w:u w:val="single"/>
    </w:rPr>
  </w:style>
  <w:style w:type="paragraph" w:customStyle="1" w:styleId="EndNoteBibliography">
    <w:name w:val="EndNote Bibliography"/>
    <w:qFormat/>
    <w:pPr>
      <w:jc w:val="both"/>
    </w:pPr>
    <w:rPr>
      <w:rFonts w:ascii="Calibri" w:eastAsiaTheme="minorEastAsia" w:hAnsi="Calibri" w:cs="Calibri"/>
      <w:kern w:val="2"/>
      <w:szCs w:val="24"/>
    </w:rPr>
  </w:style>
  <w:style w:type="paragraph" w:customStyle="1" w:styleId="Style9">
    <w:name w:val="_Style 9"/>
    <w:basedOn w:val="a"/>
    <w:next w:val="a"/>
    <w:qFormat/>
    <w:pPr>
      <w:pBdr>
        <w:bottom w:val="single" w:sz="6" w:space="1" w:color="auto"/>
      </w:pBdr>
      <w:jc w:val="center"/>
    </w:pPr>
    <w:rPr>
      <w:rFonts w:ascii="Arial" w:eastAsia="宋体"/>
      <w:vanish/>
      <w:sz w:val="16"/>
    </w:rPr>
  </w:style>
  <w:style w:type="paragraph" w:customStyle="1" w:styleId="Style10">
    <w:name w:val="_Style 10"/>
    <w:basedOn w:val="a"/>
    <w:next w:val="a"/>
    <w:qFormat/>
    <w:pPr>
      <w:pBdr>
        <w:top w:val="single" w:sz="6" w:space="1" w:color="auto"/>
      </w:pBdr>
      <w:jc w:val="center"/>
    </w:pPr>
    <w:rPr>
      <w:rFonts w:ascii="Arial" w:eastAsia="宋体"/>
      <w:vanish/>
      <w:sz w:val="16"/>
    </w:rPr>
  </w:style>
  <w:style w:type="paragraph" w:customStyle="1" w:styleId="ab">
    <w:name w:val="正正文"/>
    <w:basedOn w:val="a"/>
    <w:autoRedefine/>
    <w:qFormat/>
    <w:pPr>
      <w:spacing w:line="400" w:lineRule="exact"/>
      <w:ind w:firstLineChars="200" w:firstLine="200"/>
    </w:pPr>
    <w:rPr>
      <w:rFonts w:ascii="Times New Roman" w:eastAsia="宋体" w:hAnsi="Times New Roman" w:cs="Times New Roman"/>
      <w:sz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4">
    <w:name w:val="页脚 字符"/>
    <w:basedOn w:val="a0"/>
    <w:link w:val="a3"/>
    <w:uiPriority w:val="99"/>
    <w:qFormat/>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ing-db.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1219</Words>
  <Characters>7367</Characters>
  <Application>Microsoft Office Word</Application>
  <DocSecurity>0</DocSecurity>
  <Lines>167</Lines>
  <Paragraphs>74</Paragraphs>
  <ScaleCrop>false</ScaleCrop>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张昊葳</dc:creator>
  <cp:lastModifiedBy>haowei zhang</cp:lastModifiedBy>
  <cp:revision>15</cp:revision>
  <dcterms:created xsi:type="dcterms:W3CDTF">2025-10-11T09:25:00Z</dcterms:created>
  <dcterms:modified xsi:type="dcterms:W3CDTF">2025-10-30T10:51:00Z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3028C80E96AF42AB97D10929FB7D3ABE_13</vt:lpwstr>
  </property>
  <property fmtid="{D5CDD505-2E9C-101B-9397-08002B2CF9AE}" pid="4" name="KSOTemplateDocerSaveRecord">
    <vt:lpwstr>eyJoZGlkIjoiYjgzZTVhZTYzNDFkNzQ1MzE2N2IwZjgxZTM5MjE5MDQiLCJ1c2VySWQiOiIzMDc5ODUwMjEifQ==</vt:lpwstr>
  </property>
</Properties>
</file>