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373EC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SUPPLEMENTA</w:t>
      </w:r>
      <w:r>
        <w:rPr>
          <w:rFonts w:hint="eastAsia" w:eastAsia="宋体"/>
          <w:b/>
          <w:color w:val="000000"/>
          <w:sz w:val="24"/>
          <w:szCs w:val="24"/>
          <w:lang w:eastAsia="zh-CN"/>
        </w:rPr>
        <w:t>RY</w:t>
      </w:r>
      <w:r>
        <w:rPr>
          <w:b/>
          <w:color w:val="000000"/>
          <w:sz w:val="24"/>
          <w:szCs w:val="24"/>
        </w:rPr>
        <w:t xml:space="preserve"> EXPERIMENTAL PROCEDURES</w:t>
      </w:r>
    </w:p>
    <w:p w14:paraId="25B30BC3">
      <w:pPr>
        <w:jc w:val="both"/>
        <w:rPr>
          <w:rFonts w:eastAsia="宋体"/>
          <w:lang w:eastAsia="zh-CN"/>
        </w:rPr>
      </w:pPr>
    </w:p>
    <w:p w14:paraId="60D70850">
      <w:pPr>
        <w:spacing w:after="240" w:line="276" w:lineRule="auto"/>
        <w:jc w:val="both"/>
        <w:rPr>
          <w:b/>
          <w:bCs/>
          <w:i/>
          <w:sz w:val="24"/>
          <w:szCs w:val="24"/>
          <w:lang w:val="en-GB"/>
        </w:rPr>
      </w:pPr>
      <w:r>
        <w:rPr>
          <w:b/>
          <w:bCs/>
          <w:i/>
          <w:sz w:val="24"/>
          <w:szCs w:val="24"/>
          <w:lang w:val="en-GB"/>
        </w:rPr>
        <w:t>Cell viability assessment</w:t>
      </w:r>
    </w:p>
    <w:p w14:paraId="3466C20D">
      <w:pPr>
        <w:spacing w:after="240" w:line="276" w:lineRule="auto"/>
        <w:ind w:firstLine="480" w:firstLineChars="200"/>
        <w:jc w:val="both"/>
        <w:rPr>
          <w:rFonts w:eastAsia="宋体"/>
          <w:sz w:val="24"/>
          <w:szCs w:val="24"/>
          <w:lang w:eastAsia="zh-CN"/>
        </w:rPr>
      </w:pPr>
      <w:r>
        <w:rPr>
          <w:rFonts w:eastAsia="宋体"/>
          <w:sz w:val="24"/>
          <w:szCs w:val="24"/>
          <w:lang w:eastAsia="zh-CN"/>
        </w:rPr>
        <w:t>Bone marrow-derived macrophages (BMMs) were plated in a 96-well culture plate at a seeding density of 2×10</w:t>
      </w:r>
      <w:r>
        <w:rPr>
          <w:rFonts w:hint="eastAsia" w:eastAsia="宋体"/>
          <w:sz w:val="24"/>
          <w:szCs w:val="24"/>
          <w:vertAlign w:val="superscript"/>
          <w:lang w:eastAsia="zh-CN"/>
        </w:rPr>
        <w:t>4</w:t>
      </w:r>
      <w:r>
        <w:rPr>
          <w:rFonts w:eastAsia="宋体"/>
          <w:sz w:val="24"/>
          <w:szCs w:val="24"/>
          <w:lang w:eastAsia="zh-CN"/>
        </w:rPr>
        <w:t xml:space="preserve"> cells per well. The cells were then treated with varying concentrations of icariin (ICA) or left untreated, followed by incubation at 37°C in a 5% CO₂ atmosphere for durations of 24, 48</w:t>
      </w:r>
      <w:r>
        <w:rPr>
          <w:rFonts w:hint="eastAsia" w:eastAsia="宋体"/>
          <w:sz w:val="24"/>
          <w:szCs w:val="24"/>
          <w:lang w:eastAsia="zh-CN"/>
        </w:rPr>
        <w:t xml:space="preserve"> and</w:t>
      </w:r>
      <w:r>
        <w:rPr>
          <w:rFonts w:eastAsia="宋体"/>
          <w:sz w:val="24"/>
          <w:szCs w:val="24"/>
          <w:lang w:eastAsia="zh-CN"/>
        </w:rPr>
        <w:t xml:space="preserve"> 72 hours. Subsequently, 100 μL of CCK-8 reagent (APExBIO, USA) was introduced into each well, and the plates were further incubated at 37°C for 1 hour. Optical density (OD) was determined at a wavelength of 450 nm using a microplate reader.</w:t>
      </w:r>
    </w:p>
    <w:p w14:paraId="652F3028">
      <w:pPr>
        <w:jc w:val="both"/>
        <w:rPr>
          <w:rFonts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/>
          <w:sz w:val="24"/>
          <w:szCs w:val="24"/>
        </w:rPr>
        <w:t>S</w:t>
      </w:r>
      <w:r>
        <w:rPr>
          <w:rFonts w:hint="eastAsia" w:eastAsia="宋体"/>
          <w:b/>
          <w:color w:val="000000"/>
          <w:sz w:val="24"/>
          <w:szCs w:val="24"/>
          <w:lang w:eastAsia="zh-CN"/>
        </w:rPr>
        <w:t>UPPLEMENTARY FIGURES</w:t>
      </w:r>
    </w:p>
    <w:p w14:paraId="414CBCA1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6E1AAC8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Supplementary figure 1</w:t>
      </w:r>
    </w:p>
    <w:p w14:paraId="1B9A5F48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4B108F4C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141605</wp:posOffset>
            </wp:positionV>
            <wp:extent cx="6167120" cy="1644650"/>
            <wp:effectExtent l="0" t="0" r="5080" b="0"/>
            <wp:wrapTopAndBottom/>
            <wp:docPr id="17127864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786486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153" cy="1646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E79860">
      <w:pPr>
        <w:jc w:val="both"/>
        <w:rPr>
          <w:rFonts w:hint="default" w:eastAsia="宋体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</w:rPr>
        <w:t>Figure S</w:t>
      </w:r>
      <w:r>
        <w:rPr>
          <w:rFonts w:hint="default" w:eastAsia="宋体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 xml:space="preserve">. </w:t>
      </w:r>
      <w:r>
        <w:rPr>
          <w:rFonts w:hint="default"/>
          <w:sz w:val="24"/>
          <w:szCs w:val="24"/>
          <w:lang w:val="en-US"/>
        </w:rPr>
        <w:t>TRAP staining of lumbar vertebra in SHAM group, OVX group and OVX+ICA group.</w:t>
      </w:r>
    </w:p>
    <w:p w14:paraId="427E8A07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6220E0A7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66C8148B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17B78AE0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2468DB5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7F6E7187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4D5231EA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70AE3EA6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231E1086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2FCA8EE0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1646B1F5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04381B8F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65968768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5661CFE9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548392D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DB3C81F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89E3EDE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E575AA7">
      <w:pPr>
        <w:jc w:val="both"/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2</w:t>
      </w:r>
    </w:p>
    <w:p w14:paraId="583D96A0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C86FC9">
      <w:pPr>
        <w:jc w:val="both"/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069465"/>
            <wp:effectExtent l="0" t="0" r="2540" b="6985"/>
            <wp:docPr id="2119290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290000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54EEF">
      <w:pPr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Figure S</w:t>
      </w:r>
      <w:r>
        <w:rPr>
          <w:rFonts w:hint="eastAsia" w:eastAsia="宋体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</w:rPr>
        <w:t xml:space="preserve">. mRNA levels of </w:t>
      </w:r>
      <w:r>
        <w:rPr>
          <w:rFonts w:ascii="Times New Roman Italic" w:hAnsi="Times New Roman Italic" w:cs="Times New Roman Italic"/>
          <w:i/>
          <w:iCs/>
          <w:sz w:val="24"/>
          <w:szCs w:val="24"/>
        </w:rPr>
        <w:t>Crat</w:t>
      </w:r>
      <w:r>
        <w:rPr>
          <w:rFonts w:hint="eastAsia" w:ascii="Times New Roman Italic" w:hAnsi="Times New Roman Italic" w:eastAsia="宋体" w:cs="Times New Roman Italic"/>
          <w:i/>
          <w:iCs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</w:rPr>
        <w:t xml:space="preserve">(A) or </w:t>
      </w:r>
      <w:r>
        <w:rPr>
          <w:rFonts w:ascii="Times New Roman Italic" w:hAnsi="Times New Roman Italic" w:cs="Times New Roman Italic"/>
          <w:i/>
          <w:iCs/>
          <w:sz w:val="24"/>
          <w:szCs w:val="24"/>
        </w:rPr>
        <w:t>Esr1</w:t>
      </w:r>
      <w:r>
        <w:rPr>
          <w:rFonts w:hint="eastAsia" w:ascii="Times New Roman Italic" w:hAnsi="Times New Roman Italic" w:eastAsia="宋体" w:cs="Times New Roman Italic"/>
          <w:i/>
          <w:iCs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</w:rPr>
        <w:t xml:space="preserve">(B) were tested by </w:t>
      </w:r>
      <w:r>
        <w:rPr>
          <w:rFonts w:hint="eastAsia" w:eastAsia="宋体"/>
          <w:sz w:val="24"/>
          <w:szCs w:val="24"/>
          <w:lang w:eastAsia="zh-CN"/>
        </w:rPr>
        <w:t>qPCR (n=3</w:t>
      </w:r>
      <w:r>
        <w:rPr>
          <w:rFonts w:hint="eastAsia"/>
          <w:sz w:val="24"/>
          <w:szCs w:val="24"/>
        </w:rPr>
        <w:t xml:space="preserve">). Relative expressions of </w:t>
      </w:r>
      <w:r>
        <w:rPr>
          <w:rFonts w:ascii="Times New Roman Italic" w:hAnsi="Times New Roman Italic" w:cs="Times New Roman Italic"/>
          <w:i/>
          <w:iCs/>
          <w:sz w:val="24"/>
          <w:szCs w:val="24"/>
        </w:rPr>
        <w:t>Crat</w:t>
      </w:r>
      <w:r>
        <w:rPr>
          <w:rFonts w:hint="eastAsia"/>
          <w:sz w:val="24"/>
          <w:szCs w:val="24"/>
        </w:rPr>
        <w:t xml:space="preserve"> and </w:t>
      </w:r>
      <w:r>
        <w:rPr>
          <w:rFonts w:ascii="Times New Roman Italic" w:hAnsi="Times New Roman Italic" w:cs="Times New Roman Italic"/>
          <w:i/>
          <w:iCs/>
          <w:sz w:val="24"/>
          <w:szCs w:val="24"/>
        </w:rPr>
        <w:t>Esr1</w:t>
      </w:r>
      <w:r>
        <w:rPr>
          <w:rFonts w:hint="eastAsia"/>
          <w:sz w:val="24"/>
          <w:szCs w:val="24"/>
        </w:rPr>
        <w:t xml:space="preserve"> were all normalized against </w:t>
      </w:r>
      <w:r>
        <w:rPr>
          <w:rFonts w:hint="default" w:ascii="Times New Roman Italic" w:hAnsi="Times New Roman Italic" w:eastAsia="宋体" w:cs="Times New Roman Italic"/>
          <w:i/>
          <w:iCs/>
          <w:sz w:val="24"/>
          <w:szCs w:val="24"/>
          <w:lang w:eastAsia="zh-CN"/>
        </w:rPr>
        <w:t>Gapdh</w:t>
      </w:r>
      <w:r>
        <w:rPr>
          <w:rFonts w:hint="eastAsia" w:eastAsia="宋体"/>
          <w:sz w:val="24"/>
          <w:szCs w:val="24"/>
          <w:lang w:eastAsia="zh-CN"/>
        </w:rPr>
        <w:t xml:space="preserve"> (n=3</w:t>
      </w:r>
      <w:r>
        <w:rPr>
          <w:rFonts w:hint="eastAsia"/>
          <w:sz w:val="24"/>
          <w:szCs w:val="24"/>
        </w:rPr>
        <w:t>)</w:t>
      </w:r>
      <w:r>
        <w:rPr>
          <w:rFonts w:hint="default"/>
          <w:sz w:val="24"/>
          <w:szCs w:val="24"/>
          <w:lang w:val="en-US"/>
        </w:rPr>
        <w:t>, *</w:t>
      </w:r>
      <w:r>
        <w:rPr>
          <w:rFonts w:hint="default" w:ascii="Times New Roman Italic" w:hAnsi="Times New Roman Italic" w:cs="Times New Roman Italic"/>
          <w:i/>
          <w:iCs/>
          <w:sz w:val="24"/>
          <w:szCs w:val="24"/>
          <w:lang w:val="en-US"/>
        </w:rPr>
        <w:t>P</w:t>
      </w:r>
      <w:r>
        <w:rPr>
          <w:rFonts w:hint="default"/>
          <w:sz w:val="24"/>
          <w:szCs w:val="24"/>
          <w:lang w:val="en-US"/>
        </w:rPr>
        <w:t>=0.0153</w:t>
      </w:r>
      <w:r>
        <w:rPr>
          <w:rFonts w:hint="eastAsia"/>
          <w:sz w:val="24"/>
          <w:szCs w:val="24"/>
        </w:rPr>
        <w:t xml:space="preserve">. All the data are shown as </w:t>
      </w:r>
      <w:r>
        <w:rPr>
          <w:rFonts w:hint="eastAsia" w:eastAsia="宋体"/>
          <w:sz w:val="24"/>
          <w:szCs w:val="24"/>
          <w:lang w:eastAsia="zh-CN"/>
        </w:rPr>
        <w:t>mean±SD (n=3</w:t>
      </w:r>
      <w:r>
        <w:rPr>
          <w:rFonts w:hint="eastAsia"/>
          <w:sz w:val="24"/>
          <w:szCs w:val="24"/>
        </w:rPr>
        <w:t>) in three independent experiments.</w:t>
      </w:r>
    </w:p>
    <w:p w14:paraId="3861E34B">
      <w:pPr>
        <w:jc w:val="both"/>
        <w:rPr>
          <w:sz w:val="24"/>
          <w:szCs w:val="24"/>
        </w:rPr>
      </w:pPr>
    </w:p>
    <w:p w14:paraId="1E597E21">
      <w:pPr>
        <w:jc w:val="both"/>
        <w:rPr>
          <w:sz w:val="24"/>
          <w:szCs w:val="24"/>
        </w:rPr>
      </w:pPr>
    </w:p>
    <w:p w14:paraId="6A486F35">
      <w:pPr>
        <w:jc w:val="both"/>
        <w:rPr>
          <w:sz w:val="24"/>
          <w:szCs w:val="24"/>
        </w:rPr>
      </w:pPr>
    </w:p>
    <w:p w14:paraId="77DF3F6F">
      <w:pPr>
        <w:jc w:val="both"/>
        <w:rPr>
          <w:sz w:val="24"/>
          <w:szCs w:val="24"/>
        </w:rPr>
      </w:pPr>
    </w:p>
    <w:p w14:paraId="4A9176D7">
      <w:pPr>
        <w:jc w:val="both"/>
        <w:rPr>
          <w:sz w:val="24"/>
          <w:szCs w:val="24"/>
        </w:rPr>
      </w:pPr>
    </w:p>
    <w:p w14:paraId="4988F723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67DDC2C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5745163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A630ECB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53B54B1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2CE710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5A925B5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1862E1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960837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DC5DB7A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C691250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44B2AB1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AB219B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167687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258DB1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DF0023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815AF4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C142AB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054CD22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2DD7853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845484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9C83A29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4645A3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81CBB0">
      <w:pPr>
        <w:jc w:val="both"/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3</w:t>
      </w:r>
    </w:p>
    <w:p w14:paraId="506FD5DC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6C383A">
      <w:pPr>
        <w:jc w:val="both"/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403475"/>
            <wp:effectExtent l="0" t="0" r="2540" b="0"/>
            <wp:docPr id="3781507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50719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60B12">
      <w:pPr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Figure S</w:t>
      </w:r>
      <w:r>
        <w:rPr>
          <w:rFonts w:hint="eastAsia" w:eastAsia="宋体"/>
          <w:sz w:val="24"/>
          <w:szCs w:val="24"/>
          <w:lang w:eastAsia="zh-CN"/>
        </w:rPr>
        <w:t>3</w:t>
      </w:r>
      <w:r>
        <w:rPr>
          <w:rFonts w:hint="eastAsia"/>
          <w:sz w:val="24"/>
          <w:szCs w:val="24"/>
        </w:rPr>
        <w:t xml:space="preserve">. 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 xml:space="preserve">xpressions of miR-497-3p and miR-935 were tested by </w:t>
      </w:r>
      <w:r>
        <w:rPr>
          <w:rFonts w:hint="eastAsia" w:eastAsia="宋体"/>
          <w:sz w:val="24"/>
          <w:szCs w:val="24"/>
          <w:lang w:eastAsia="zh-CN"/>
        </w:rPr>
        <w:t>qPCR (n=3</w:t>
      </w:r>
      <w:r>
        <w:rPr>
          <w:rFonts w:hint="eastAsia"/>
          <w:sz w:val="24"/>
          <w:szCs w:val="24"/>
        </w:rPr>
        <w:t xml:space="preserve">). Relative expression of miR-497-3p was all normalized against </w:t>
      </w:r>
      <w:r>
        <w:rPr>
          <w:rFonts w:hint="eastAsia" w:eastAsia="宋体"/>
          <w:sz w:val="24"/>
          <w:szCs w:val="24"/>
          <w:lang w:eastAsia="zh-CN"/>
        </w:rPr>
        <w:t>U6 (n=3</w:t>
      </w:r>
      <w:r>
        <w:rPr>
          <w:rFonts w:hint="eastAsia"/>
          <w:sz w:val="24"/>
          <w:szCs w:val="24"/>
        </w:rPr>
        <w:t xml:space="preserve">). </w:t>
      </w:r>
      <w:r>
        <w:rPr>
          <w:rFonts w:ascii="Times New Roman Italic" w:hAnsi="Times New Roman Italic" w:cs="Times New Roman Italic"/>
          <w:i/>
          <w:iCs/>
          <w:sz w:val="24"/>
          <w:szCs w:val="24"/>
        </w:rPr>
        <w:t>N.D.</w:t>
      </w:r>
      <w:r>
        <w:rPr>
          <w:rFonts w:hint="eastAsia"/>
          <w:sz w:val="24"/>
          <w:szCs w:val="24"/>
        </w:rPr>
        <w:t xml:space="preserve"> means not detected in the experiments.</w:t>
      </w:r>
    </w:p>
    <w:p w14:paraId="41D39113">
      <w:pPr>
        <w:jc w:val="both"/>
        <w:rPr>
          <w:sz w:val="24"/>
          <w:szCs w:val="24"/>
        </w:rPr>
      </w:pPr>
    </w:p>
    <w:p w14:paraId="6C715027">
      <w:pPr>
        <w:jc w:val="both"/>
        <w:rPr>
          <w:sz w:val="24"/>
          <w:szCs w:val="24"/>
        </w:rPr>
      </w:pPr>
    </w:p>
    <w:p w14:paraId="521CE898">
      <w:pPr>
        <w:jc w:val="both"/>
        <w:rPr>
          <w:sz w:val="24"/>
          <w:szCs w:val="24"/>
        </w:rPr>
      </w:pPr>
    </w:p>
    <w:p w14:paraId="3A13F5F2">
      <w:pPr>
        <w:jc w:val="both"/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4</w:t>
      </w:r>
    </w:p>
    <w:p w14:paraId="2ACF1FE1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706C1D8">
      <w:pPr>
        <w:jc w:val="center"/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429510"/>
            <wp:effectExtent l="0" t="0" r="2540" b="8890"/>
            <wp:docPr id="15799528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52817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763C6">
      <w:pPr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Figure S</w:t>
      </w:r>
      <w:r>
        <w:rPr>
          <w:rFonts w:hint="eastAsia" w:eastAsia="宋体"/>
          <w:sz w:val="24"/>
          <w:szCs w:val="24"/>
          <w:lang w:eastAsia="zh-CN"/>
        </w:rPr>
        <w:t>4</w:t>
      </w:r>
      <w:r>
        <w:rPr>
          <w:rFonts w:hint="eastAsia"/>
          <w:sz w:val="24"/>
          <w:szCs w:val="24"/>
        </w:rPr>
        <w:t>. miR-376c-3p expression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 xml:space="preserve"> were tested by </w:t>
      </w:r>
      <w:r>
        <w:rPr>
          <w:rFonts w:hint="eastAsia" w:eastAsia="宋体"/>
          <w:sz w:val="24"/>
          <w:szCs w:val="24"/>
          <w:lang w:eastAsia="zh-CN"/>
        </w:rPr>
        <w:t>qPCR (n=3</w:t>
      </w:r>
      <w:r>
        <w:rPr>
          <w:rFonts w:hint="eastAsia"/>
          <w:sz w:val="24"/>
          <w:szCs w:val="24"/>
        </w:rPr>
        <w:t>) after transfected with the mimic</w:t>
      </w:r>
      <w:r>
        <w:rPr>
          <w:rFonts w:hint="eastAsia" w:eastAsia="宋体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</w:rPr>
        <w:t>(A) or inhibitor</w:t>
      </w:r>
      <w:r>
        <w:rPr>
          <w:rFonts w:hint="eastAsia" w:eastAsia="宋体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</w:rPr>
        <w:t xml:space="preserve">(B). Relative expression of miR-376c-3p was all normalized against </w:t>
      </w:r>
      <w:r>
        <w:rPr>
          <w:rFonts w:hint="eastAsia" w:eastAsia="宋体"/>
          <w:sz w:val="24"/>
          <w:szCs w:val="24"/>
          <w:lang w:eastAsia="zh-CN"/>
        </w:rPr>
        <w:t>U6 (n=3</w:t>
      </w:r>
      <w:r>
        <w:rPr>
          <w:rFonts w:hint="eastAsia"/>
          <w:sz w:val="24"/>
          <w:szCs w:val="24"/>
        </w:rPr>
        <w:t xml:space="preserve">). </w:t>
      </w:r>
      <w:r>
        <w:rPr>
          <w:rFonts w:hint="default" w:ascii="Times New Roman Italic" w:hAnsi="Times New Roman Italic" w:cs="Times New Roman Italic"/>
          <w:i/>
          <w:iCs/>
          <w:sz w:val="24"/>
          <w:szCs w:val="24"/>
        </w:rPr>
        <w:t>P</w:t>
      </w:r>
      <w:r>
        <w:rPr>
          <w:rFonts w:hint="eastAsia"/>
          <w:sz w:val="24"/>
          <w:szCs w:val="24"/>
        </w:rPr>
        <w:t xml:space="preserve"> values are indicated as follows: ****</w:t>
      </w:r>
      <w:r>
        <w:rPr>
          <w:rFonts w:hint="default" w:ascii="Times New Roman Italic" w:hAnsi="Times New Roman Italic" w:cs="Times New Roman Italic"/>
          <w:i/>
          <w:iCs/>
          <w:sz w:val="24"/>
          <w:szCs w:val="24"/>
        </w:rPr>
        <w:t>P</w:t>
      </w:r>
      <w:r>
        <w:rPr>
          <w:rFonts w:hint="eastAsia"/>
          <w:sz w:val="24"/>
          <w:szCs w:val="24"/>
        </w:rPr>
        <w:t>&lt;0.0001; **</w:t>
      </w:r>
      <w:r>
        <w:rPr>
          <w:rFonts w:hint="default" w:ascii="Times New Roman Italic" w:hAnsi="Times New Roman Italic" w:cs="Times New Roman Italic"/>
          <w:i/>
          <w:iCs/>
          <w:sz w:val="24"/>
          <w:szCs w:val="24"/>
        </w:rPr>
        <w:t>P</w:t>
      </w:r>
      <w:r>
        <w:rPr>
          <w:rFonts w:hint="eastAsia"/>
          <w:sz w:val="24"/>
          <w:szCs w:val="24"/>
        </w:rPr>
        <w:t>=0.0064</w:t>
      </w:r>
      <w:r>
        <w:rPr>
          <w:rFonts w:hint="default"/>
          <w:sz w:val="24"/>
          <w:szCs w:val="24"/>
          <w:lang w:val="en-US"/>
        </w:rPr>
        <w:t xml:space="preserve">. </w:t>
      </w:r>
      <w:r>
        <w:rPr>
          <w:rFonts w:hint="eastAsia"/>
          <w:sz w:val="24"/>
          <w:szCs w:val="24"/>
        </w:rPr>
        <w:t>All the data are shown as mean±SD (n=3) in three independent experiments.</w:t>
      </w:r>
    </w:p>
    <w:p w14:paraId="12CB506A">
      <w:pPr>
        <w:jc w:val="both"/>
        <w:rPr>
          <w:sz w:val="24"/>
          <w:szCs w:val="24"/>
        </w:rPr>
      </w:pPr>
    </w:p>
    <w:p w14:paraId="1CD8AFCD">
      <w:pPr>
        <w:jc w:val="both"/>
        <w:rPr>
          <w:sz w:val="24"/>
          <w:szCs w:val="24"/>
        </w:rPr>
      </w:pPr>
    </w:p>
    <w:p w14:paraId="3FDD1547">
      <w:pPr>
        <w:jc w:val="both"/>
        <w:rPr>
          <w:sz w:val="24"/>
          <w:szCs w:val="24"/>
        </w:rPr>
      </w:pPr>
    </w:p>
    <w:p w14:paraId="1F861B6A">
      <w:pPr>
        <w:jc w:val="both"/>
        <w:rPr>
          <w:sz w:val="24"/>
          <w:szCs w:val="24"/>
        </w:rPr>
      </w:pPr>
    </w:p>
    <w:p w14:paraId="76D66415">
      <w:pPr>
        <w:jc w:val="both"/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5</w:t>
      </w:r>
    </w:p>
    <w:p w14:paraId="19CA6AC6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6EEC33">
      <w:pPr>
        <w:jc w:val="center"/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3771900"/>
            <wp:effectExtent l="0" t="0" r="2540" b="0"/>
            <wp:docPr id="34016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698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811D5">
      <w:pPr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ICA showed no toxicity to BMMs. Cell viability of BMMs under different concentrations of ICA 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was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measured by CCK8 assay for 24, 48 and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72 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hours (n=3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).</w:t>
      </w:r>
    </w:p>
    <w:p w14:paraId="3280DFC9">
      <w:pPr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515FFD5">
      <w:pPr>
        <w:jc w:val="both"/>
        <w:rPr>
          <w:sz w:val="24"/>
          <w:szCs w:val="24"/>
        </w:rPr>
      </w:pPr>
    </w:p>
    <w:p w14:paraId="080451BE">
      <w:pPr>
        <w:jc w:val="both"/>
        <w:rPr>
          <w:sz w:val="24"/>
          <w:szCs w:val="24"/>
        </w:rPr>
      </w:pPr>
    </w:p>
    <w:p w14:paraId="28C0A4D1">
      <w:pPr>
        <w:jc w:val="both"/>
        <w:rPr>
          <w:sz w:val="24"/>
          <w:szCs w:val="24"/>
        </w:rPr>
      </w:pPr>
    </w:p>
    <w:p w14:paraId="017FA1A6">
      <w:pPr>
        <w:jc w:val="both"/>
        <w:rPr>
          <w:sz w:val="24"/>
          <w:szCs w:val="24"/>
        </w:rPr>
      </w:pPr>
    </w:p>
    <w:p w14:paraId="186907DE">
      <w:pPr>
        <w:jc w:val="both"/>
        <w:rPr>
          <w:sz w:val="24"/>
          <w:szCs w:val="24"/>
        </w:rPr>
      </w:pPr>
    </w:p>
    <w:p w14:paraId="105F89B9">
      <w:pPr>
        <w:jc w:val="both"/>
        <w:rPr>
          <w:sz w:val="24"/>
          <w:szCs w:val="24"/>
        </w:rPr>
      </w:pPr>
    </w:p>
    <w:p w14:paraId="3C33346B">
      <w:pPr>
        <w:jc w:val="both"/>
        <w:rPr>
          <w:sz w:val="24"/>
          <w:szCs w:val="24"/>
        </w:rPr>
      </w:pPr>
    </w:p>
    <w:p w14:paraId="136EC387">
      <w:pPr>
        <w:jc w:val="both"/>
        <w:rPr>
          <w:sz w:val="24"/>
          <w:szCs w:val="24"/>
        </w:rPr>
      </w:pPr>
    </w:p>
    <w:p w14:paraId="1B4FDB53">
      <w:pPr>
        <w:jc w:val="both"/>
        <w:rPr>
          <w:sz w:val="24"/>
          <w:szCs w:val="24"/>
        </w:rPr>
      </w:pPr>
    </w:p>
    <w:p w14:paraId="619DCB5A">
      <w:pPr>
        <w:jc w:val="both"/>
        <w:rPr>
          <w:sz w:val="24"/>
          <w:szCs w:val="24"/>
        </w:rPr>
      </w:pPr>
    </w:p>
    <w:p w14:paraId="7D8F317B">
      <w:pPr>
        <w:jc w:val="both"/>
        <w:rPr>
          <w:sz w:val="24"/>
          <w:szCs w:val="24"/>
        </w:rPr>
      </w:pPr>
    </w:p>
    <w:p w14:paraId="796A2A33">
      <w:pPr>
        <w:jc w:val="both"/>
        <w:rPr>
          <w:sz w:val="24"/>
          <w:szCs w:val="24"/>
        </w:rPr>
      </w:pPr>
    </w:p>
    <w:p w14:paraId="78E1E3BB">
      <w:pPr>
        <w:jc w:val="both"/>
        <w:rPr>
          <w:sz w:val="24"/>
          <w:szCs w:val="24"/>
        </w:rPr>
      </w:pPr>
    </w:p>
    <w:p w14:paraId="0CEA6ADB">
      <w:pPr>
        <w:jc w:val="both"/>
        <w:rPr>
          <w:sz w:val="24"/>
          <w:szCs w:val="24"/>
        </w:rPr>
      </w:pPr>
    </w:p>
    <w:p w14:paraId="18121905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95696E8">
      <w:pPr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E7FDB3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3FC9771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7C4A949A">
      <w:pPr>
        <w:jc w:val="both"/>
        <w:rPr>
          <w:rFonts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5433CDE2">
      <w:pPr>
        <w:jc w:val="both"/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eastAsiaTheme="minorEastAsia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6</w:t>
      </w:r>
    </w:p>
    <w:p w14:paraId="626E2D58">
      <w:pPr>
        <w:jc w:val="both"/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5257165"/>
            <wp:effectExtent l="0" t="0" r="2540" b="635"/>
            <wp:docPr id="106335580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355807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656E">
      <w:pPr>
        <w:jc w:val="both"/>
        <w:rPr>
          <w:rFonts w:eastAsia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22FEF55">
      <w:pPr>
        <w:jc w:val="both"/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The expressions of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Mdm2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Gsk3b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Il2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after 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transfection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with miR-376c-3p mimics (A-C)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inhibitors (D-F)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 inhibitor NC group, ICA+inhibitor NC group and ICA+miR-376c-3p inhibitor group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(G-I).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Relative expressions of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Mdm2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Gsk3b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were all normalized against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β-</w:t>
      </w:r>
      <w:r>
        <w:rPr>
          <w:rFonts w:hint="eastAsia" w:ascii="Times New Roman Italic" w:hAnsi="Times New Roman Italic" w:eastAsia="宋体" w:cs="Times New Roman Italic"/>
          <w:i/>
          <w:i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actin (n=3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  <w:r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***</w:t>
      </w:r>
      <w:r>
        <w:rPr>
          <w:rFonts w:hint="default"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=0.0004</w:t>
      </w:r>
      <w:r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, miR-376c-3p inhibitor versus inhibitor NC; ***P=0.0003, ICA+miR-376c-3p inhibitor versus ICA+inhibitor NC; *</w:t>
      </w:r>
      <w:r>
        <w:rPr>
          <w:rFonts w:hint="default" w:ascii="Times New Roman Italic" w:hAnsi="Times New Roman Italic" w:cs="Times New Roman Italic"/>
          <w:i/>
          <w:i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P</w:t>
      </w:r>
      <w:r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=0.0328, ICA+inhibitor NC versus inhibitor NC.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All the data are shown as </w:t>
      </w:r>
      <w:r>
        <w:rPr>
          <w:rFonts w:hint="eastAsia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mean±SD (n=3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in three independent experiments. </w:t>
      </w:r>
      <w:r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N.D.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means not detected in the experiments. </w:t>
      </w:r>
    </w:p>
    <w:p w14:paraId="241CC94D">
      <w:pPr>
        <w:jc w:val="both"/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00248A1F">
      <w:pPr>
        <w:jc w:val="both"/>
        <w:rPr>
          <w:rFonts w:hint="default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5CE46E93">
      <w:pPr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72D8BD">
      <w:pPr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0C45056">
      <w:pPr>
        <w:jc w:val="both"/>
        <w:rPr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M2ZWQzYjk4MTQyOTc4NzViZGFlNDUzZjdhMTNjMDMifQ=="/>
  </w:docVars>
  <w:rsids>
    <w:rsidRoot w:val="00644C42"/>
    <w:rsid w:val="0000440A"/>
    <w:rsid w:val="0014413B"/>
    <w:rsid w:val="00197569"/>
    <w:rsid w:val="001D22D9"/>
    <w:rsid w:val="002735FD"/>
    <w:rsid w:val="00362318"/>
    <w:rsid w:val="003A20FE"/>
    <w:rsid w:val="00634082"/>
    <w:rsid w:val="00644C42"/>
    <w:rsid w:val="00667273"/>
    <w:rsid w:val="007B01D5"/>
    <w:rsid w:val="007F0B95"/>
    <w:rsid w:val="00845D08"/>
    <w:rsid w:val="008E0C2D"/>
    <w:rsid w:val="009125B5"/>
    <w:rsid w:val="009201BF"/>
    <w:rsid w:val="009418CD"/>
    <w:rsid w:val="009441B5"/>
    <w:rsid w:val="00990BD0"/>
    <w:rsid w:val="00A420A4"/>
    <w:rsid w:val="00AF02FD"/>
    <w:rsid w:val="00DF1AF3"/>
    <w:rsid w:val="00E47089"/>
    <w:rsid w:val="00EB2B4E"/>
    <w:rsid w:val="00F1761F"/>
    <w:rsid w:val="00F41D1A"/>
    <w:rsid w:val="00FA52F9"/>
    <w:rsid w:val="1EBD0952"/>
    <w:rsid w:val="255C0E9F"/>
    <w:rsid w:val="2922660D"/>
    <w:rsid w:val="3FE47758"/>
    <w:rsid w:val="3FF521E4"/>
    <w:rsid w:val="418F3592"/>
    <w:rsid w:val="584D0392"/>
    <w:rsid w:val="5FA662FF"/>
    <w:rsid w:val="630774B8"/>
    <w:rsid w:val="65E1574E"/>
    <w:rsid w:val="668A3D1A"/>
    <w:rsid w:val="6FED2C25"/>
    <w:rsid w:val="76FF50CD"/>
    <w:rsid w:val="7C0113DD"/>
    <w:rsid w:val="7D24547D"/>
    <w:rsid w:val="7FDF404B"/>
    <w:rsid w:val="FFBEF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rPr>
      <w:rFonts w:ascii="Times New Roman" w:hAnsi="Times New Roman" w:eastAsia="Times New Roman" w:cs="Times New Roman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line number"/>
    <w:basedOn w:val="5"/>
    <w:qFormat/>
    <w:uiPriority w:val="0"/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0"/>
    <w:rPr>
      <w:rFonts w:eastAsia="Times New Roman"/>
      <w:sz w:val="18"/>
      <w:szCs w:val="18"/>
      <w:lang w:eastAsia="en-US"/>
    </w:rPr>
  </w:style>
  <w:style w:type="character" w:customStyle="1" w:styleId="9">
    <w:name w:val="页脚 字符"/>
    <w:basedOn w:val="5"/>
    <w:link w:val="2"/>
    <w:qFormat/>
    <w:uiPriority w:val="0"/>
    <w:rPr>
      <w:rFonts w:eastAsia="Times New Roman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347</Words>
  <Characters>1987</Characters>
  <Lines>98</Lines>
  <Paragraphs>17</Paragraphs>
  <TotalTime>5</TotalTime>
  <ScaleCrop>false</ScaleCrop>
  <LinksUpToDate>false</LinksUpToDate>
  <CharactersWithSpaces>2319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2025-11-28T06:41:00Z</dcterms:created>
  <dc:creator>MECHREVO</dc:creator>
  <cp:lastModifiedBy>严辉</cp:lastModifiedBy>
  <cp:lastPrinted>2025-07-24T01:46:00Z</cp:lastPrinted>
  <dcterms:modified xsi:type="dcterms:W3CDTF">2025-11-29T18:14:05Z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9E993A58220D406D93E16396F5962AFA_13</vt:lpwstr>
  </property>
  <property fmtid="{D5CDD505-2E9C-101B-9397-08002B2CF9AE}" pid="4" name="KSOTemplateDocerSaveRecord">
    <vt:lpwstr>eyJoZGlkIjoiOTBmMzlhMTZhMmM1MzE5ODc1NTY1Njc3ZjMyNTgyYjEiLCJ1c2VySWQiOiIyNDMyMTMxMTEifQ==</vt:lpwstr>
  </property>
</Properties>
</file>