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5FC56">
      <w:pP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bookmarkStart w:id="0" w:name="_GoBack"/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S1. Annual consultation-based rates of stress fractures per 100,000 unique pediatric orthopedic patients (aged 6–18 years) with 95% Confidence Intervals (CIs), 2017–2024.</w:t>
      </w:r>
    </w:p>
    <w:bookmarkEnd w:id="0"/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7"/>
        <w:gridCol w:w="1761"/>
        <w:gridCol w:w="3802"/>
        <w:gridCol w:w="2196"/>
      </w:tblGrid>
      <w:tr w14:paraId="4D900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Header/>
        </w:trPr>
        <w:tc>
          <w:tcPr>
            <w:tcW w:w="355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37FF46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Year</w:t>
            </w:r>
          </w:p>
        </w:tc>
        <w:tc>
          <w:tcPr>
            <w:tcW w:w="105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014A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Number of SF Cases</w:t>
            </w:r>
          </w:p>
        </w:tc>
        <w:tc>
          <w:tcPr>
            <w:tcW w:w="2269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04975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Number of Unique Pediatric Orthopedic Patients*</w:t>
            </w:r>
          </w:p>
        </w:tc>
        <w:tc>
          <w:tcPr>
            <w:tcW w:w="1316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4EE6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Rate per 100,000 (95% CI)</w:t>
            </w:r>
          </w:p>
        </w:tc>
      </w:tr>
      <w:tr w14:paraId="75F62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B4B70B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1058" w:type="pct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C8547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2269" w:type="pct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D9D42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519,200</w:t>
            </w:r>
          </w:p>
        </w:tc>
        <w:tc>
          <w:tcPr>
            <w:tcW w:w="1316" w:type="pct"/>
            <w:tcBorders>
              <w:top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5185F0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8.09 (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6.2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– 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</w:tr>
      <w:tr w14:paraId="632CA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3825C2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2018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7EE82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13EF6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372,195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F66725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.2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(10.4 – 16.8)</w:t>
            </w:r>
          </w:p>
        </w:tc>
      </w:tr>
      <w:tr w14:paraId="0AD89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883F20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2019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2B89B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23A6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832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72AA76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(15.5 – 23.3)</w:t>
            </w:r>
          </w:p>
        </w:tc>
      </w:tr>
      <w:tr w14:paraId="50F15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7EA694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CA6D5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89D76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418,649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2B49D7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(18.6 – 28.5)</w:t>
            </w:r>
          </w:p>
        </w:tc>
      </w:tr>
      <w:tr w14:paraId="5B95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3466CF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9C860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AB7D3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996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0F458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.9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(28.3 – 40.5)</w:t>
            </w:r>
          </w:p>
        </w:tc>
      </w:tr>
      <w:tr w14:paraId="45026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8FEEBE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2022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78270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A6D9E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364,320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368132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38.98 (32.9 – 46.0)</w:t>
            </w:r>
          </w:p>
        </w:tc>
      </w:tr>
      <w:tr w14:paraId="61395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0D5F0D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2023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E3DAD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5D66A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371,280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741465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28.28 (23.2 – 34.3)</w:t>
            </w:r>
          </w:p>
        </w:tc>
      </w:tr>
      <w:tr w14:paraId="2FD40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A8EA5B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2024</w:t>
            </w:r>
          </w:p>
        </w:tc>
        <w:tc>
          <w:tcPr>
            <w:tcW w:w="1058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DCB7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2269" w:type="pct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2782F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258,648</w:t>
            </w:r>
          </w:p>
        </w:tc>
        <w:tc>
          <w:tcPr>
            <w:tcW w:w="1316" w:type="pct"/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E92CB9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23.98 (18.5 – 30.8)</w:t>
            </w:r>
          </w:p>
        </w:tc>
      </w:tr>
      <w:tr w14:paraId="1210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5" w:type="pct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73248F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1058" w:type="pct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2D440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2269" w:type="pct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7F487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Style w:val="4"/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Style w:val="4"/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129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Style w:val="4"/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316" w:type="pct"/>
            <w:tcBorders>
              <w:bottom w:val="single" w:color="auto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DD8FC0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4"/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Style w:val="4"/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(22.8 – 26.4)</w:t>
            </w:r>
          </w:p>
        </w:tc>
      </w:tr>
    </w:tbl>
    <w:p w14:paraId="7EC0A89A">
      <w:pPr>
        <w:rPr>
          <w:rStyle w:val="4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2"/>
          <w:szCs w:val="1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C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2026-01-17T12:56:32Z</dcterms:created>
  <dc:creator>潇洒哥</dc:creator>
  <cp:lastModifiedBy>裴新健</cp:lastModifiedBy>
  <dcterms:modified xsi:type="dcterms:W3CDTF">2026-01-17T14:58:46Z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eyJoZGlkIjoiMzEwNTM5NzYwMDRjMzkwZTVkZjY2ODkwMGIxNGU0OTUiLCJ1c2VySWQiOiIyNjM4MzQ1MzYifQ==</vt:lpwstr>
  </property>
  <property fmtid="{D5CDD505-2E9C-101B-9397-08002B2CF9AE}" pid="4" name="ICV">
    <vt:lpwstr>C560E4EA956142EBB74FA7EF967968D7_12</vt:lpwstr>
  </property>
</Properties>
</file>