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E13A" w14:textId="03EA3838" w:rsidR="00E14A8D" w:rsidRPr="00285F85" w:rsidRDefault="006B002B" w:rsidP="00285F85">
      <w:pPr>
        <w:spacing w:after="0" w:line="360" w:lineRule="auto"/>
        <w:rPr>
          <w:rFonts w:cs="Times New Roman"/>
          <w:b/>
          <w:bCs/>
          <w:lang w:eastAsia="zh-CN"/>
        </w:rPr>
      </w:pPr>
      <w:r w:rsidRPr="00285F85">
        <w:rPr>
          <w:rFonts w:cs="Times New Roman"/>
          <w:b/>
          <w:bCs/>
        </w:rPr>
        <w:t>Supplementary</w:t>
      </w:r>
      <w:r w:rsidRPr="00285F85">
        <w:rPr>
          <w:rFonts w:cs="Times New Roman"/>
          <w:b/>
          <w:bCs/>
          <w:lang w:eastAsia="zh-CN"/>
        </w:rPr>
        <w:t xml:space="preserve"> </w:t>
      </w:r>
      <w:r w:rsidR="00E14A8D" w:rsidRPr="00285F85">
        <w:rPr>
          <w:rFonts w:cs="Times New Roman"/>
          <w:b/>
          <w:bCs/>
          <w:lang w:eastAsia="zh-CN"/>
        </w:rPr>
        <w:t>F</w:t>
      </w:r>
      <w:r w:rsidRPr="00285F85">
        <w:rPr>
          <w:rFonts w:cs="Times New Roman"/>
          <w:b/>
          <w:bCs/>
          <w:lang w:eastAsia="zh-CN"/>
        </w:rPr>
        <w:t xml:space="preserve">igure </w:t>
      </w:r>
      <w:r w:rsidR="00E14A8D" w:rsidRPr="00285F85">
        <w:rPr>
          <w:rFonts w:cs="Times New Roman"/>
          <w:b/>
          <w:bCs/>
          <w:lang w:eastAsia="zh-CN"/>
        </w:rPr>
        <w:t>L</w:t>
      </w:r>
      <w:r w:rsidRPr="00285F85">
        <w:rPr>
          <w:rFonts w:cs="Times New Roman"/>
          <w:b/>
          <w:bCs/>
          <w:lang w:eastAsia="zh-CN"/>
        </w:rPr>
        <w:t>egends</w:t>
      </w:r>
    </w:p>
    <w:p w14:paraId="04985A32" w14:textId="77777777" w:rsidR="00E14A8D" w:rsidRPr="00285F85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>Supplementary Figure S1. Follow-up distribution by procedure.</w:t>
      </w:r>
    </w:p>
    <w:p w14:paraId="5DBF7989" w14:textId="34B6082E" w:rsidR="00BE605D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 xml:space="preserve">Kernel density plots show the distribution of follow-up duration (months) in the PLIF and OLIF groups. Density is shown to avoid visual bias from unequal group sizes. Follow-up was defined as the time from surgery to final follow-up, where final follow-up </w:t>
      </w:r>
      <w:proofErr w:type="spellStart"/>
      <w:r w:rsidRPr="00285F85">
        <w:rPr>
          <w:rFonts w:cs="Times New Roman"/>
          <w:lang w:eastAsia="zh-CN"/>
        </w:rPr>
        <w:t>was</w:t>
      </w:r>
      <w:r w:rsidR="00E12C6F" w:rsidRPr="00E12C6F">
        <w:rPr>
          <w:rFonts w:cs="Times New Roman"/>
          <w:lang w:eastAsia="zh-CN"/>
        </w:rPr>
        <w:t>for</w:t>
      </w:r>
      <w:proofErr w:type="spellEnd"/>
      <w:r w:rsidR="00E12C6F" w:rsidRPr="00E12C6F">
        <w:rPr>
          <w:rFonts w:cs="Times New Roman"/>
          <w:lang w:eastAsia="zh-CN"/>
        </w:rPr>
        <w:t xml:space="preserve"> this analysis as the last available postoperative visit at which patient-reported outcomes and standing radiographs were obtained concurrently.</w:t>
      </w:r>
    </w:p>
    <w:p w14:paraId="1C1A3AA2" w14:textId="77777777" w:rsidR="00E12C6F" w:rsidRPr="00285F85" w:rsidRDefault="00E12C6F" w:rsidP="00285F85">
      <w:pPr>
        <w:spacing w:after="0" w:line="360" w:lineRule="auto"/>
        <w:rPr>
          <w:rFonts w:cs="Times New Roman"/>
          <w:lang w:eastAsia="zh-CN"/>
        </w:rPr>
      </w:pPr>
    </w:p>
    <w:p w14:paraId="29628685" w14:textId="77777777" w:rsidR="00E14A8D" w:rsidRPr="00285F85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>Supplementary Figure S2. Covariate balance before and after IPTW.</w:t>
      </w:r>
    </w:p>
    <w:p w14:paraId="049C4042" w14:textId="2570ACF3" w:rsidR="00E14A8D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>Love plot of absolute standardized mean differences (|SMD|) for baseline covariates comparing PLIF versus OLIF before weighting and after inverse probability of treatment weighting (IPTW) based on a baseline-only propensity score model. The vertical reference line indicates the prespecified balance threshold |SMD| = 0.10. Covariates include baseline ODI, age, sex, BMI, one- versus two-level involvement, and baseline radiographic parameters (LL, SS, SLA, DH, FH).</w:t>
      </w:r>
    </w:p>
    <w:p w14:paraId="2C71AC86" w14:textId="77777777" w:rsidR="00BE605D" w:rsidRPr="00285F85" w:rsidRDefault="00BE605D" w:rsidP="00285F85">
      <w:pPr>
        <w:spacing w:after="0" w:line="360" w:lineRule="auto"/>
        <w:rPr>
          <w:rFonts w:cs="Times New Roman"/>
          <w:lang w:eastAsia="zh-CN"/>
        </w:rPr>
      </w:pPr>
    </w:p>
    <w:p w14:paraId="7959C697" w14:textId="77777777" w:rsidR="00E14A8D" w:rsidRPr="00285F85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>Supplementary Figure S3. MCID responder analysis for ODI and VAS.</w:t>
      </w:r>
    </w:p>
    <w:p w14:paraId="091849A2" w14:textId="6EA79FAB" w:rsidR="00E14A8D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 xml:space="preserve">Bar plots show the proportion of patients achieving minimum clinically important difference (MCID) at final follow-up in each group. ODI responders were defined as ΔODI = </w:t>
      </w:r>
      <w:proofErr w:type="spellStart"/>
      <w:r w:rsidRPr="00285F85">
        <w:rPr>
          <w:rFonts w:cs="Times New Roman"/>
          <w:lang w:eastAsia="zh-CN"/>
        </w:rPr>
        <w:t>ODI_pre</w:t>
      </w:r>
      <w:proofErr w:type="spellEnd"/>
      <w:r w:rsidRPr="00285F85">
        <w:rPr>
          <w:rFonts w:cs="Times New Roman"/>
          <w:lang w:eastAsia="zh-CN"/>
        </w:rPr>
        <w:t xml:space="preserve"> − </w:t>
      </w:r>
      <w:proofErr w:type="spellStart"/>
      <w:r w:rsidRPr="00285F85">
        <w:rPr>
          <w:rFonts w:cs="Times New Roman"/>
          <w:lang w:eastAsia="zh-CN"/>
        </w:rPr>
        <w:t>ODI_final</w:t>
      </w:r>
      <w:proofErr w:type="spellEnd"/>
      <w:r w:rsidRPr="00285F85">
        <w:rPr>
          <w:rFonts w:cs="Times New Roman"/>
          <w:lang w:eastAsia="zh-CN"/>
        </w:rPr>
        <w:t xml:space="preserve"> ≥ 12.8. VAS responders were defined as ΔVAS = </w:t>
      </w:r>
      <w:proofErr w:type="spellStart"/>
      <w:r w:rsidRPr="00285F85">
        <w:rPr>
          <w:rFonts w:cs="Times New Roman"/>
          <w:lang w:eastAsia="zh-CN"/>
        </w:rPr>
        <w:t>VAS_pre</w:t>
      </w:r>
      <w:proofErr w:type="spellEnd"/>
      <w:r w:rsidRPr="00285F85">
        <w:rPr>
          <w:rFonts w:cs="Times New Roman"/>
          <w:lang w:eastAsia="zh-CN"/>
        </w:rPr>
        <w:t xml:space="preserve"> − VAS_final ≥ 1.5. Positive values indicate improvement.</w:t>
      </w:r>
    </w:p>
    <w:p w14:paraId="7A3D94CF" w14:textId="77777777" w:rsidR="00BE605D" w:rsidRPr="00285F85" w:rsidRDefault="00BE605D" w:rsidP="00285F85">
      <w:pPr>
        <w:spacing w:after="0" w:line="360" w:lineRule="auto"/>
        <w:rPr>
          <w:rFonts w:cs="Times New Roman"/>
          <w:lang w:eastAsia="zh-CN"/>
        </w:rPr>
      </w:pPr>
    </w:p>
    <w:p w14:paraId="03CD731E" w14:textId="77777777" w:rsidR="00E14A8D" w:rsidRPr="00285F85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>Supplementary Figure S4. IPTW diagnostics: propensity score overlap and weight distribution.</w:t>
      </w:r>
    </w:p>
    <w:p w14:paraId="1DB6B8C4" w14:textId="7BC60044" w:rsidR="006B002B" w:rsidRPr="00285F85" w:rsidRDefault="00E14A8D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>Left panel: density plots of baseline propensity score distributions for PLIF and OLIF, showing overlap under the baseline-only propensity score model. Right panel: histogram of stabilized IPTW weights after trimming at the 1st–99th percentiles, illustrating the distribution of trimmed stabilized weights used in weighted analyses.</w:t>
      </w:r>
    </w:p>
    <w:p w14:paraId="7F453D1B" w14:textId="77777777" w:rsidR="006B002B" w:rsidRDefault="006B002B" w:rsidP="00285F85">
      <w:pPr>
        <w:spacing w:after="0" w:line="360" w:lineRule="auto"/>
        <w:rPr>
          <w:rFonts w:cs="Times New Roman"/>
          <w:lang w:eastAsia="zh-CN"/>
        </w:rPr>
      </w:pPr>
    </w:p>
    <w:p w14:paraId="7BEEBCB1" w14:textId="77777777" w:rsidR="002F72BB" w:rsidRPr="00285F85" w:rsidRDefault="002F72BB" w:rsidP="00285F85">
      <w:pPr>
        <w:spacing w:after="0" w:line="360" w:lineRule="auto"/>
        <w:rPr>
          <w:rFonts w:cs="Times New Roman"/>
          <w:lang w:eastAsia="zh-CN"/>
        </w:rPr>
      </w:pPr>
    </w:p>
    <w:p w14:paraId="7F27F34B" w14:textId="3AAD8520" w:rsidR="00E14A8D" w:rsidRPr="00285F85" w:rsidRDefault="00E14A8D" w:rsidP="00285F85">
      <w:pPr>
        <w:spacing w:after="0" w:line="360" w:lineRule="auto"/>
        <w:rPr>
          <w:rFonts w:cs="Times New Roman"/>
          <w:b/>
          <w:bCs/>
          <w:lang w:eastAsia="zh-CN"/>
        </w:rPr>
      </w:pPr>
      <w:r w:rsidRPr="00285F85">
        <w:rPr>
          <w:rFonts w:cs="Times New Roman"/>
          <w:b/>
          <w:bCs/>
        </w:rPr>
        <w:lastRenderedPageBreak/>
        <w:t>Supplementary Table</w:t>
      </w:r>
      <w:r w:rsidRPr="00285F85">
        <w:rPr>
          <w:rFonts w:cs="Times New Roman"/>
          <w:b/>
          <w:bCs/>
          <w:lang w:eastAsia="zh-CN"/>
        </w:rPr>
        <w:t>s</w:t>
      </w:r>
    </w:p>
    <w:p w14:paraId="34DF7663" w14:textId="2FA56892" w:rsidR="00E85429" w:rsidRPr="00285F85" w:rsidRDefault="00E85429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</w:rPr>
        <w:t>Supplementary Table S1. Perioperative and early postoperative complications (≤30 days).</w:t>
      </w:r>
    </w:p>
    <w:tbl>
      <w:tblPr>
        <w:tblStyle w:val="af2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2065"/>
        <w:gridCol w:w="2065"/>
        <w:gridCol w:w="2058"/>
      </w:tblGrid>
      <w:tr w:rsidR="00E85429" w:rsidRPr="00285F85" w14:paraId="63DFF0B8" w14:textId="77777777" w:rsidTr="00E85429">
        <w:trPr>
          <w:jc w:val="center"/>
        </w:trPr>
        <w:tc>
          <w:tcPr>
            <w:tcW w:w="21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D47460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Complication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813AF3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PLIF (n=53)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BF5F5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OLIF (n=47)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B91ED1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P value</w:t>
            </w:r>
          </w:p>
        </w:tc>
      </w:tr>
      <w:tr w:rsidR="00E85429" w:rsidRPr="00285F85" w14:paraId="7FE715DD" w14:textId="77777777" w:rsidTr="00E85429">
        <w:trPr>
          <w:jc w:val="center"/>
        </w:trPr>
        <w:tc>
          <w:tcPr>
            <w:tcW w:w="2108" w:type="dxa"/>
            <w:tcBorders>
              <w:top w:val="single" w:sz="4" w:space="0" w:color="auto"/>
            </w:tcBorders>
            <w:vAlign w:val="center"/>
            <w:hideMark/>
          </w:tcPr>
          <w:p w14:paraId="2122B6E9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Any complication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vAlign w:val="center"/>
            <w:hideMark/>
          </w:tcPr>
          <w:p w14:paraId="4BCFC9F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25 (47.2%)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vAlign w:val="center"/>
            <w:hideMark/>
          </w:tcPr>
          <w:p w14:paraId="7D848B01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17 (36.2%)</w:t>
            </w:r>
          </w:p>
        </w:tc>
        <w:tc>
          <w:tcPr>
            <w:tcW w:w="2058" w:type="dxa"/>
            <w:tcBorders>
              <w:top w:val="single" w:sz="4" w:space="0" w:color="auto"/>
            </w:tcBorders>
            <w:vAlign w:val="center"/>
            <w:hideMark/>
          </w:tcPr>
          <w:p w14:paraId="60D5A9FC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0.363</w:t>
            </w:r>
          </w:p>
        </w:tc>
      </w:tr>
      <w:tr w:rsidR="00E85429" w:rsidRPr="00285F85" w14:paraId="05590F55" w14:textId="77777777" w:rsidTr="00E85429">
        <w:trPr>
          <w:jc w:val="center"/>
        </w:trPr>
        <w:tc>
          <w:tcPr>
            <w:tcW w:w="8296" w:type="dxa"/>
            <w:gridSpan w:val="4"/>
            <w:hideMark/>
          </w:tcPr>
          <w:p w14:paraId="5F3EC003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Surgical-related complications</w:t>
            </w:r>
          </w:p>
        </w:tc>
      </w:tr>
      <w:tr w:rsidR="00E85429" w:rsidRPr="00285F85" w14:paraId="7AD81258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44ADD3FF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Surgical-related complications (any)</w:t>
            </w:r>
          </w:p>
        </w:tc>
        <w:tc>
          <w:tcPr>
            <w:tcW w:w="2065" w:type="dxa"/>
            <w:vAlign w:val="center"/>
            <w:hideMark/>
          </w:tcPr>
          <w:p w14:paraId="5BAAA63E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13 (24.5%)</w:t>
            </w:r>
          </w:p>
        </w:tc>
        <w:tc>
          <w:tcPr>
            <w:tcW w:w="2065" w:type="dxa"/>
            <w:vAlign w:val="center"/>
            <w:hideMark/>
          </w:tcPr>
          <w:p w14:paraId="3CB872BD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3 (6.4%)</w:t>
            </w:r>
          </w:p>
        </w:tc>
        <w:tc>
          <w:tcPr>
            <w:tcW w:w="2058" w:type="dxa"/>
            <w:vAlign w:val="center"/>
            <w:hideMark/>
          </w:tcPr>
          <w:p w14:paraId="0B168AD0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0.028</w:t>
            </w:r>
          </w:p>
        </w:tc>
      </w:tr>
      <w:tr w:rsidR="00E85429" w:rsidRPr="00285F85" w14:paraId="4E76F2DA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4E44B06E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Dural tear</w:t>
            </w:r>
          </w:p>
        </w:tc>
        <w:tc>
          <w:tcPr>
            <w:tcW w:w="2065" w:type="dxa"/>
            <w:vAlign w:val="center"/>
            <w:hideMark/>
          </w:tcPr>
          <w:p w14:paraId="3C314C8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4 (7.5%)</w:t>
            </w:r>
          </w:p>
        </w:tc>
        <w:tc>
          <w:tcPr>
            <w:tcW w:w="2065" w:type="dxa"/>
            <w:vAlign w:val="center"/>
            <w:hideMark/>
          </w:tcPr>
          <w:p w14:paraId="4A524F81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58" w:type="dxa"/>
            <w:vAlign w:val="center"/>
            <w:hideMark/>
          </w:tcPr>
          <w:p w14:paraId="52C0EDFD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0.120</w:t>
            </w:r>
          </w:p>
        </w:tc>
      </w:tr>
      <w:tr w:rsidR="00E85429" w:rsidRPr="00285F85" w14:paraId="03DA6C4F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444F7D4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Surgical site infection</w:t>
            </w:r>
          </w:p>
        </w:tc>
        <w:tc>
          <w:tcPr>
            <w:tcW w:w="2065" w:type="dxa"/>
            <w:vAlign w:val="center"/>
            <w:hideMark/>
          </w:tcPr>
          <w:p w14:paraId="3885A55F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8 (15.1%)</w:t>
            </w:r>
          </w:p>
        </w:tc>
        <w:tc>
          <w:tcPr>
            <w:tcW w:w="2065" w:type="dxa"/>
            <w:vAlign w:val="center"/>
            <w:hideMark/>
          </w:tcPr>
          <w:p w14:paraId="7A25F72A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3 (6.4%)</w:t>
            </w:r>
          </w:p>
        </w:tc>
        <w:tc>
          <w:tcPr>
            <w:tcW w:w="2058" w:type="dxa"/>
            <w:vAlign w:val="center"/>
            <w:hideMark/>
          </w:tcPr>
          <w:p w14:paraId="1D87F54E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0.285</w:t>
            </w:r>
          </w:p>
        </w:tc>
      </w:tr>
      <w:tr w:rsidR="00E85429" w:rsidRPr="00285F85" w14:paraId="5C2F75F9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6D79C44D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Epidural hematoma</w:t>
            </w:r>
          </w:p>
        </w:tc>
        <w:tc>
          <w:tcPr>
            <w:tcW w:w="2065" w:type="dxa"/>
            <w:vAlign w:val="center"/>
            <w:hideMark/>
          </w:tcPr>
          <w:p w14:paraId="736CA140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65" w:type="dxa"/>
            <w:vAlign w:val="center"/>
            <w:hideMark/>
          </w:tcPr>
          <w:p w14:paraId="29730804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58" w:type="dxa"/>
            <w:vAlign w:val="center"/>
            <w:hideMark/>
          </w:tcPr>
          <w:p w14:paraId="3D074D5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—</w:t>
            </w:r>
          </w:p>
        </w:tc>
      </w:tr>
      <w:tr w:rsidR="00E85429" w:rsidRPr="00285F85" w14:paraId="609B45D7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23CDAA19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Reoperation</w:t>
            </w:r>
          </w:p>
        </w:tc>
        <w:tc>
          <w:tcPr>
            <w:tcW w:w="2065" w:type="dxa"/>
            <w:vAlign w:val="center"/>
            <w:hideMark/>
          </w:tcPr>
          <w:p w14:paraId="2403565A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 (1.9%)</w:t>
            </w:r>
          </w:p>
        </w:tc>
        <w:tc>
          <w:tcPr>
            <w:tcW w:w="2065" w:type="dxa"/>
            <w:vAlign w:val="center"/>
            <w:hideMark/>
          </w:tcPr>
          <w:p w14:paraId="2F14894C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58" w:type="dxa"/>
            <w:vAlign w:val="center"/>
            <w:hideMark/>
          </w:tcPr>
          <w:p w14:paraId="41E3F0D7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1.000</w:t>
            </w:r>
          </w:p>
        </w:tc>
      </w:tr>
      <w:tr w:rsidR="00E85429" w:rsidRPr="00285F85" w14:paraId="23468033" w14:textId="77777777" w:rsidTr="00E85429">
        <w:trPr>
          <w:jc w:val="center"/>
        </w:trPr>
        <w:tc>
          <w:tcPr>
            <w:tcW w:w="8296" w:type="dxa"/>
            <w:gridSpan w:val="4"/>
            <w:hideMark/>
          </w:tcPr>
          <w:p w14:paraId="3FD32BDC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Approach-related complications</w:t>
            </w:r>
          </w:p>
        </w:tc>
      </w:tr>
      <w:tr w:rsidR="00E85429" w:rsidRPr="00285F85" w14:paraId="2A356443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62B0DFDE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Approach-related complications (any)</w:t>
            </w:r>
          </w:p>
        </w:tc>
        <w:tc>
          <w:tcPr>
            <w:tcW w:w="2065" w:type="dxa"/>
            <w:vAlign w:val="center"/>
            <w:hideMark/>
          </w:tcPr>
          <w:p w14:paraId="3689427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65" w:type="dxa"/>
            <w:vAlign w:val="center"/>
            <w:hideMark/>
          </w:tcPr>
          <w:p w14:paraId="4AC7512E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10 (21.3%)</w:t>
            </w:r>
          </w:p>
        </w:tc>
        <w:tc>
          <w:tcPr>
            <w:tcW w:w="2058" w:type="dxa"/>
            <w:vAlign w:val="center"/>
            <w:hideMark/>
          </w:tcPr>
          <w:p w14:paraId="5B8220E9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&lt;0.001</w:t>
            </w:r>
          </w:p>
        </w:tc>
      </w:tr>
      <w:tr w:rsidR="00E85429" w:rsidRPr="00285F85" w14:paraId="15AD2308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5D541B1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Thigh numbness</w:t>
            </w:r>
          </w:p>
        </w:tc>
        <w:tc>
          <w:tcPr>
            <w:tcW w:w="2065" w:type="dxa"/>
            <w:vAlign w:val="center"/>
            <w:hideMark/>
          </w:tcPr>
          <w:p w14:paraId="7EA0C08F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65" w:type="dxa"/>
            <w:vAlign w:val="center"/>
            <w:hideMark/>
          </w:tcPr>
          <w:p w14:paraId="78082169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2 (4.3%)</w:t>
            </w:r>
          </w:p>
        </w:tc>
        <w:tc>
          <w:tcPr>
            <w:tcW w:w="2058" w:type="dxa"/>
            <w:vAlign w:val="center"/>
            <w:hideMark/>
          </w:tcPr>
          <w:p w14:paraId="6AF6B5E6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0.218</w:t>
            </w:r>
          </w:p>
        </w:tc>
      </w:tr>
      <w:tr w:rsidR="00E85429" w:rsidRPr="00285F85" w14:paraId="7D0FE4FA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2E25A1B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Hip flexion weakness</w:t>
            </w:r>
          </w:p>
        </w:tc>
        <w:tc>
          <w:tcPr>
            <w:tcW w:w="2065" w:type="dxa"/>
            <w:vAlign w:val="center"/>
            <w:hideMark/>
          </w:tcPr>
          <w:p w14:paraId="74BA42C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65" w:type="dxa"/>
            <w:vAlign w:val="center"/>
            <w:hideMark/>
          </w:tcPr>
          <w:p w14:paraId="28A0767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 (2.1%)</w:t>
            </w:r>
          </w:p>
        </w:tc>
        <w:tc>
          <w:tcPr>
            <w:tcW w:w="2058" w:type="dxa"/>
            <w:vAlign w:val="center"/>
            <w:hideMark/>
          </w:tcPr>
          <w:p w14:paraId="2EEE0A5A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0.470</w:t>
            </w:r>
          </w:p>
        </w:tc>
      </w:tr>
      <w:tr w:rsidR="00E85429" w:rsidRPr="00285F85" w14:paraId="48D1C175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65D03332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Ileus</w:t>
            </w:r>
          </w:p>
        </w:tc>
        <w:tc>
          <w:tcPr>
            <w:tcW w:w="2065" w:type="dxa"/>
            <w:vAlign w:val="center"/>
            <w:hideMark/>
          </w:tcPr>
          <w:p w14:paraId="7F48E00C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65" w:type="dxa"/>
            <w:vAlign w:val="center"/>
            <w:hideMark/>
          </w:tcPr>
          <w:p w14:paraId="29C8393A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7 (14.9%)</w:t>
            </w:r>
          </w:p>
        </w:tc>
        <w:tc>
          <w:tcPr>
            <w:tcW w:w="2058" w:type="dxa"/>
            <w:vAlign w:val="center"/>
            <w:hideMark/>
          </w:tcPr>
          <w:p w14:paraId="01482C22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0.004</w:t>
            </w:r>
          </w:p>
        </w:tc>
      </w:tr>
      <w:tr w:rsidR="00E85429" w:rsidRPr="00285F85" w14:paraId="6B1167BF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31F78CAF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Ureteral injury</w:t>
            </w:r>
          </w:p>
        </w:tc>
        <w:tc>
          <w:tcPr>
            <w:tcW w:w="2065" w:type="dxa"/>
            <w:vAlign w:val="center"/>
            <w:hideMark/>
          </w:tcPr>
          <w:p w14:paraId="00DCD917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65" w:type="dxa"/>
            <w:vAlign w:val="center"/>
            <w:hideMark/>
          </w:tcPr>
          <w:p w14:paraId="3380EDB8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 (0.0%)</w:t>
            </w:r>
          </w:p>
        </w:tc>
        <w:tc>
          <w:tcPr>
            <w:tcW w:w="2058" w:type="dxa"/>
            <w:vAlign w:val="center"/>
            <w:hideMark/>
          </w:tcPr>
          <w:p w14:paraId="742C85AE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—</w:t>
            </w:r>
          </w:p>
        </w:tc>
      </w:tr>
      <w:tr w:rsidR="00E85429" w:rsidRPr="00285F85" w14:paraId="65F37E3E" w14:textId="77777777" w:rsidTr="00E85429">
        <w:trPr>
          <w:jc w:val="center"/>
        </w:trPr>
        <w:tc>
          <w:tcPr>
            <w:tcW w:w="8296" w:type="dxa"/>
            <w:gridSpan w:val="4"/>
            <w:hideMark/>
          </w:tcPr>
          <w:p w14:paraId="15C5F277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Other complications</w:t>
            </w:r>
          </w:p>
        </w:tc>
      </w:tr>
      <w:tr w:rsidR="00E85429" w:rsidRPr="00285F85" w14:paraId="0184522B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493F0782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Other complications (any)</w:t>
            </w:r>
          </w:p>
        </w:tc>
        <w:tc>
          <w:tcPr>
            <w:tcW w:w="2065" w:type="dxa"/>
            <w:vAlign w:val="center"/>
            <w:hideMark/>
          </w:tcPr>
          <w:p w14:paraId="120FF127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13 (24.5%)</w:t>
            </w:r>
          </w:p>
        </w:tc>
        <w:tc>
          <w:tcPr>
            <w:tcW w:w="2065" w:type="dxa"/>
            <w:vAlign w:val="center"/>
            <w:hideMark/>
          </w:tcPr>
          <w:p w14:paraId="08A3205D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5 (10.6%)</w:t>
            </w:r>
          </w:p>
        </w:tc>
        <w:tc>
          <w:tcPr>
            <w:tcW w:w="2058" w:type="dxa"/>
            <w:vAlign w:val="center"/>
            <w:hideMark/>
          </w:tcPr>
          <w:p w14:paraId="751D564A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0.123</w:t>
            </w:r>
          </w:p>
        </w:tc>
      </w:tr>
      <w:tr w:rsidR="00E85429" w:rsidRPr="00285F85" w14:paraId="3ECFFA4B" w14:textId="77777777" w:rsidTr="00E85429">
        <w:trPr>
          <w:jc w:val="center"/>
        </w:trPr>
        <w:tc>
          <w:tcPr>
            <w:tcW w:w="2108" w:type="dxa"/>
            <w:vAlign w:val="center"/>
            <w:hideMark/>
          </w:tcPr>
          <w:p w14:paraId="4C50E3B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Postoperative neurologic symptoms</w:t>
            </w:r>
          </w:p>
        </w:tc>
        <w:tc>
          <w:tcPr>
            <w:tcW w:w="2065" w:type="dxa"/>
            <w:vAlign w:val="center"/>
            <w:hideMark/>
          </w:tcPr>
          <w:p w14:paraId="563C7769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3 (5.7%)</w:t>
            </w:r>
          </w:p>
        </w:tc>
        <w:tc>
          <w:tcPr>
            <w:tcW w:w="2065" w:type="dxa"/>
            <w:vAlign w:val="center"/>
            <w:hideMark/>
          </w:tcPr>
          <w:p w14:paraId="68BDE89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 (2.1%)</w:t>
            </w:r>
          </w:p>
        </w:tc>
        <w:tc>
          <w:tcPr>
            <w:tcW w:w="2058" w:type="dxa"/>
            <w:vAlign w:val="center"/>
            <w:hideMark/>
          </w:tcPr>
          <w:p w14:paraId="58909C7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0.620</w:t>
            </w:r>
          </w:p>
        </w:tc>
      </w:tr>
      <w:tr w:rsidR="00E85429" w:rsidRPr="00285F85" w14:paraId="3B49DCDB" w14:textId="77777777" w:rsidTr="00E85429">
        <w:trPr>
          <w:jc w:val="center"/>
        </w:trPr>
        <w:tc>
          <w:tcPr>
            <w:tcW w:w="2108" w:type="dxa"/>
            <w:tcBorders>
              <w:bottom w:val="single" w:sz="4" w:space="0" w:color="auto"/>
            </w:tcBorders>
            <w:vAlign w:val="center"/>
            <w:hideMark/>
          </w:tcPr>
          <w:p w14:paraId="4BC1E06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– Postoperative urinary retention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  <w:hideMark/>
          </w:tcPr>
          <w:p w14:paraId="67CA51AA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11 (20.8%)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  <w:hideMark/>
          </w:tcPr>
          <w:p w14:paraId="57ABD1D4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4 (8.5%)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vAlign w:val="center"/>
            <w:hideMark/>
          </w:tcPr>
          <w:p w14:paraId="759DA182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0.152</w:t>
            </w:r>
          </w:p>
        </w:tc>
      </w:tr>
    </w:tbl>
    <w:p w14:paraId="7A2E7958" w14:textId="5081DC96" w:rsidR="00E85429" w:rsidRPr="00285F85" w:rsidRDefault="00E85429" w:rsidP="00285F85">
      <w:pPr>
        <w:spacing w:after="0" w:line="360" w:lineRule="auto"/>
        <w:rPr>
          <w:rFonts w:cs="Times New Roman"/>
        </w:rPr>
      </w:pPr>
      <w:r w:rsidRPr="00285F85">
        <w:rPr>
          <w:rFonts w:cs="Times New Roman"/>
        </w:rPr>
        <w:lastRenderedPageBreak/>
        <w:t>Notes: Complications were recorded during the index hospitalization or within 30 days after surgery.</w:t>
      </w:r>
      <w:r w:rsidR="00FE5403" w:rsidRPr="00285F85">
        <w:rPr>
          <w:rFonts w:cs="Times New Roman"/>
          <w:lang w:eastAsia="zh-CN"/>
        </w:rPr>
        <w:t xml:space="preserve"> </w:t>
      </w:r>
      <w:r w:rsidRPr="00285F85">
        <w:rPr>
          <w:rFonts w:cs="Times New Roman"/>
        </w:rPr>
        <w:t xml:space="preserve">Values are n (%). </w:t>
      </w:r>
      <w:r w:rsidR="00FE5403" w:rsidRPr="00285F85">
        <w:rPr>
          <w:rFonts w:cs="Times New Roman"/>
        </w:rPr>
        <w:t>P values were calculated using a chi-square test (with Yates’ continuity correction when applicable) or Fisher’s exact test when expected cell counts were small.</w:t>
      </w:r>
      <w:r w:rsidRPr="00285F85">
        <w:rPr>
          <w:rFonts w:cs="Times New Roman"/>
        </w:rPr>
        <w:t xml:space="preserve"> P values are not calculated (shown as '—') when there were no events in either group. Category rows '(any)' indicate ≥1 event in that category; patients could experience &gt;1 complication. Definition and capture window of complications are described in the Methods. Patients could experience more than one complication; categories are not mutually exclusive.</w:t>
      </w:r>
    </w:p>
    <w:p w14:paraId="74ECB914" w14:textId="77777777" w:rsidR="00AA5C2B" w:rsidRPr="00285F85" w:rsidRDefault="00AA5C2B" w:rsidP="00285F85">
      <w:pPr>
        <w:spacing w:after="0" w:line="360" w:lineRule="auto"/>
        <w:rPr>
          <w:rFonts w:cs="Times New Roman"/>
          <w:lang w:eastAsia="zh-CN"/>
        </w:rPr>
      </w:pPr>
    </w:p>
    <w:p w14:paraId="609DFBE8" w14:textId="09084CFC" w:rsidR="00E85429" w:rsidRPr="00285F85" w:rsidRDefault="00E85429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>Supplementary Table S2. Measurement reliability (ICC)</w:t>
      </w:r>
    </w:p>
    <w:tbl>
      <w:tblPr>
        <w:tblStyle w:val="af2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9"/>
        <w:gridCol w:w="2810"/>
        <w:gridCol w:w="2810"/>
      </w:tblGrid>
      <w:tr w:rsidR="00E85429" w:rsidRPr="00285F85" w14:paraId="74AE7683" w14:textId="77777777" w:rsidTr="003D0EC2"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</w:tcPr>
          <w:p w14:paraId="49258D96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Parameter</w:t>
            </w:r>
          </w:p>
        </w:tc>
        <w:tc>
          <w:tcPr>
            <w:tcW w:w="2810" w:type="dxa"/>
            <w:tcBorders>
              <w:top w:val="single" w:sz="4" w:space="0" w:color="auto"/>
              <w:bottom w:val="single" w:sz="4" w:space="0" w:color="auto"/>
            </w:tcBorders>
          </w:tcPr>
          <w:p w14:paraId="40B5847D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Interobserver ICC (95% CI)</w:t>
            </w:r>
          </w:p>
        </w:tc>
        <w:tc>
          <w:tcPr>
            <w:tcW w:w="2810" w:type="dxa"/>
            <w:tcBorders>
              <w:top w:val="single" w:sz="4" w:space="0" w:color="auto"/>
              <w:bottom w:val="single" w:sz="4" w:space="0" w:color="auto"/>
            </w:tcBorders>
          </w:tcPr>
          <w:p w14:paraId="0EA896D1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proofErr w:type="spellStart"/>
            <w:r w:rsidRPr="00285F85">
              <w:rPr>
                <w:rFonts w:cs="Times New Roman"/>
              </w:rPr>
              <w:t>Intraobserver</w:t>
            </w:r>
            <w:proofErr w:type="spellEnd"/>
            <w:r w:rsidRPr="00285F85">
              <w:rPr>
                <w:rFonts w:cs="Times New Roman"/>
              </w:rPr>
              <w:t xml:space="preserve"> ICC (95% CI)</w:t>
            </w:r>
          </w:p>
        </w:tc>
      </w:tr>
      <w:tr w:rsidR="00E85429" w:rsidRPr="00285F85" w14:paraId="4A88271A" w14:textId="77777777" w:rsidTr="003D0EC2">
        <w:tc>
          <w:tcPr>
            <w:tcW w:w="2799" w:type="dxa"/>
            <w:tcBorders>
              <w:top w:val="single" w:sz="4" w:space="0" w:color="auto"/>
            </w:tcBorders>
          </w:tcPr>
          <w:p w14:paraId="64056E5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Lumbar lordosis (LL)</w:t>
            </w:r>
          </w:p>
        </w:tc>
        <w:tc>
          <w:tcPr>
            <w:tcW w:w="2810" w:type="dxa"/>
            <w:tcBorders>
              <w:top w:val="single" w:sz="4" w:space="0" w:color="auto"/>
            </w:tcBorders>
          </w:tcPr>
          <w:p w14:paraId="3F669EB3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0.91 (0.86–0.95)</w:t>
            </w:r>
          </w:p>
        </w:tc>
        <w:tc>
          <w:tcPr>
            <w:tcW w:w="2810" w:type="dxa"/>
            <w:tcBorders>
              <w:top w:val="single" w:sz="4" w:space="0" w:color="auto"/>
            </w:tcBorders>
          </w:tcPr>
          <w:p w14:paraId="5EE3217A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0.96 (0.93–0.98)</w:t>
            </w:r>
          </w:p>
        </w:tc>
      </w:tr>
      <w:tr w:rsidR="00E85429" w:rsidRPr="00285F85" w14:paraId="4E386B49" w14:textId="77777777" w:rsidTr="003D0EC2">
        <w:tc>
          <w:tcPr>
            <w:tcW w:w="2799" w:type="dxa"/>
          </w:tcPr>
          <w:p w14:paraId="6450EBD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Sacral slope (SS)</w:t>
            </w:r>
          </w:p>
        </w:tc>
        <w:tc>
          <w:tcPr>
            <w:tcW w:w="2810" w:type="dxa"/>
          </w:tcPr>
          <w:p w14:paraId="0F75217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0.89 (0.83–0.94)</w:t>
            </w:r>
          </w:p>
        </w:tc>
        <w:tc>
          <w:tcPr>
            <w:tcW w:w="2810" w:type="dxa"/>
          </w:tcPr>
          <w:p w14:paraId="1B9214E6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0.94 (0.90–0.97)</w:t>
            </w:r>
          </w:p>
        </w:tc>
      </w:tr>
      <w:tr w:rsidR="00E85429" w:rsidRPr="00285F85" w14:paraId="0AA91BC8" w14:textId="77777777" w:rsidTr="003D0EC2">
        <w:tc>
          <w:tcPr>
            <w:tcW w:w="2799" w:type="dxa"/>
          </w:tcPr>
          <w:p w14:paraId="65789E0B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Segmental lordosis angle (SLA)</w:t>
            </w:r>
          </w:p>
        </w:tc>
        <w:tc>
          <w:tcPr>
            <w:tcW w:w="2810" w:type="dxa"/>
          </w:tcPr>
          <w:p w14:paraId="5F53F39F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0.82 (0.74–0.89)</w:t>
            </w:r>
          </w:p>
        </w:tc>
        <w:tc>
          <w:tcPr>
            <w:tcW w:w="2810" w:type="dxa"/>
          </w:tcPr>
          <w:p w14:paraId="32B5FC9F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0.88 (0.82–0.93)</w:t>
            </w:r>
          </w:p>
        </w:tc>
      </w:tr>
      <w:tr w:rsidR="00E85429" w:rsidRPr="00285F85" w14:paraId="0CDA7691" w14:textId="77777777" w:rsidTr="003D0EC2">
        <w:tc>
          <w:tcPr>
            <w:tcW w:w="2799" w:type="dxa"/>
          </w:tcPr>
          <w:p w14:paraId="149B8E18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Disc height (DH)</w:t>
            </w:r>
          </w:p>
        </w:tc>
        <w:tc>
          <w:tcPr>
            <w:tcW w:w="2810" w:type="dxa"/>
          </w:tcPr>
          <w:p w14:paraId="2EA6D84E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0.85 (0.78–0.91)</w:t>
            </w:r>
          </w:p>
        </w:tc>
        <w:tc>
          <w:tcPr>
            <w:tcW w:w="2810" w:type="dxa"/>
          </w:tcPr>
          <w:p w14:paraId="51C4FAE8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0.90 (0.85–0.94)</w:t>
            </w:r>
          </w:p>
        </w:tc>
      </w:tr>
      <w:tr w:rsidR="00E85429" w:rsidRPr="00285F85" w14:paraId="372EAAE4" w14:textId="77777777" w:rsidTr="003D0EC2">
        <w:tc>
          <w:tcPr>
            <w:tcW w:w="2799" w:type="dxa"/>
            <w:tcBorders>
              <w:bottom w:val="single" w:sz="4" w:space="0" w:color="auto"/>
            </w:tcBorders>
          </w:tcPr>
          <w:p w14:paraId="34035BD0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Foraminal height (FH)</w:t>
            </w:r>
          </w:p>
        </w:tc>
        <w:tc>
          <w:tcPr>
            <w:tcW w:w="2810" w:type="dxa"/>
            <w:tcBorders>
              <w:bottom w:val="single" w:sz="4" w:space="0" w:color="auto"/>
            </w:tcBorders>
          </w:tcPr>
          <w:p w14:paraId="7FE60ACF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0.76 (0.68–0.84)</w:t>
            </w:r>
          </w:p>
        </w:tc>
        <w:tc>
          <w:tcPr>
            <w:tcW w:w="2810" w:type="dxa"/>
            <w:tcBorders>
              <w:bottom w:val="single" w:sz="4" w:space="0" w:color="auto"/>
            </w:tcBorders>
          </w:tcPr>
          <w:p w14:paraId="373995A5" w14:textId="77777777" w:rsidR="00E85429" w:rsidRPr="00285F85" w:rsidRDefault="00E85429" w:rsidP="00285F85">
            <w:pPr>
              <w:spacing w:after="0" w:line="360" w:lineRule="auto"/>
              <w:rPr>
                <w:rFonts w:cs="Times New Roman"/>
              </w:rPr>
            </w:pPr>
            <w:r w:rsidRPr="00285F85">
              <w:rPr>
                <w:rFonts w:cs="Times New Roman"/>
              </w:rPr>
              <w:t>0.83 (0.76–0.89)</w:t>
            </w:r>
          </w:p>
        </w:tc>
      </w:tr>
    </w:tbl>
    <w:p w14:paraId="145EBF67" w14:textId="073D7825" w:rsidR="00E85429" w:rsidRPr="00285F85" w:rsidRDefault="003D0EC2" w:rsidP="00285F85">
      <w:pPr>
        <w:spacing w:after="0" w:line="360" w:lineRule="auto"/>
        <w:rPr>
          <w:rFonts w:cs="Times New Roman"/>
          <w:lang w:eastAsia="zh-CN"/>
        </w:rPr>
      </w:pPr>
      <w:r w:rsidRPr="00285F85">
        <w:rPr>
          <w:rFonts w:cs="Times New Roman"/>
          <w:lang w:eastAsia="zh-CN"/>
        </w:rPr>
        <w:t xml:space="preserve">Notes: Reliability of radiographic measurements was evaluated using intraclass correlation coefficients (ICCs) with 95% confidence intervals (CIs). Interobserver ICC reflects agreement between the two independent observers; </w:t>
      </w:r>
      <w:proofErr w:type="spellStart"/>
      <w:r w:rsidRPr="00285F85">
        <w:rPr>
          <w:rFonts w:cs="Times New Roman"/>
          <w:lang w:eastAsia="zh-CN"/>
        </w:rPr>
        <w:t>intraobserver</w:t>
      </w:r>
      <w:proofErr w:type="spellEnd"/>
      <w:r w:rsidRPr="00285F85">
        <w:rPr>
          <w:rFonts w:cs="Times New Roman"/>
          <w:lang w:eastAsia="zh-CN"/>
        </w:rPr>
        <w:t xml:space="preserve"> ICC reflects repeat measurements by the same observer after a 2-week interval. Higher ICC values indicate better reliability. Abbreviations: ICC, intraclass correlation coefficient; CI, confidence interval; LL, lumbar lordosis; SS, sacral slope; SLA, segmental lordosis angle; DH, disc height; FH, foraminal height.</w:t>
      </w:r>
    </w:p>
    <w:p w14:paraId="6A72FE37" w14:textId="77777777" w:rsidR="00AA5C2B" w:rsidRPr="00285F85" w:rsidRDefault="00AA5C2B" w:rsidP="00285F85">
      <w:pPr>
        <w:spacing w:after="0" w:line="360" w:lineRule="auto"/>
        <w:rPr>
          <w:rFonts w:cs="Times New Roman"/>
          <w:lang w:eastAsia="zh-CN"/>
        </w:rPr>
      </w:pPr>
    </w:p>
    <w:p w14:paraId="4CAC1A9C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Supplementary Table S3. Sensitivity analyses of the procedure effect on ODI (ANCOVA and change-score models)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1"/>
        <w:gridCol w:w="1069"/>
        <w:gridCol w:w="924"/>
        <w:gridCol w:w="642"/>
      </w:tblGrid>
      <w:tr w:rsidR="00FD55D2" w:rsidRPr="00285F85" w14:paraId="6E617ACB" w14:textId="77777777" w:rsidTr="00FD55D2">
        <w:trPr>
          <w:tblHeader/>
          <w:tblCellSpacing w:w="15" w:type="dxa"/>
        </w:trPr>
        <w:tc>
          <w:tcPr>
            <w:tcW w:w="338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185AA1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lastRenderedPageBreak/>
              <w:t>Model</w:t>
            </w:r>
          </w:p>
        </w:tc>
        <w:tc>
          <w:tcPr>
            <w:tcW w:w="626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DBF36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β (OLIF vs PLIF)</w:t>
            </w:r>
          </w:p>
        </w:tc>
        <w:tc>
          <w:tcPr>
            <w:tcW w:w="53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4157A3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95% CI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6FEF74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 value</w:t>
            </w:r>
          </w:p>
        </w:tc>
      </w:tr>
      <w:tr w:rsidR="00FD55D2" w:rsidRPr="00285F85" w14:paraId="4F157192" w14:textId="77777777" w:rsidTr="00FD55D2">
        <w:trPr>
          <w:tblCellSpacing w:w="15" w:type="dxa"/>
        </w:trPr>
        <w:tc>
          <w:tcPr>
            <w:tcW w:w="3387" w:type="pct"/>
            <w:vAlign w:val="center"/>
            <w:hideMark/>
          </w:tcPr>
          <w:p w14:paraId="2CB09E5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Primary ANCOVA (final ODI)</w:t>
            </w:r>
          </w:p>
        </w:tc>
        <w:tc>
          <w:tcPr>
            <w:tcW w:w="626" w:type="pct"/>
            <w:vAlign w:val="center"/>
            <w:hideMark/>
          </w:tcPr>
          <w:p w14:paraId="0EB6DB9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5.04</w:t>
            </w:r>
          </w:p>
        </w:tc>
        <w:tc>
          <w:tcPr>
            <w:tcW w:w="538" w:type="pct"/>
            <w:vAlign w:val="center"/>
            <w:hideMark/>
          </w:tcPr>
          <w:p w14:paraId="181369A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1.60 to 8.49</w:t>
            </w:r>
          </w:p>
        </w:tc>
        <w:tc>
          <w:tcPr>
            <w:tcW w:w="359" w:type="pct"/>
            <w:vAlign w:val="center"/>
            <w:hideMark/>
          </w:tcPr>
          <w:p w14:paraId="3BC9FDA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0.005</w:t>
            </w:r>
          </w:p>
        </w:tc>
      </w:tr>
      <w:tr w:rsidR="00FD55D2" w:rsidRPr="00285F85" w14:paraId="27EE3181" w14:textId="77777777" w:rsidTr="00FD55D2">
        <w:trPr>
          <w:tblCellSpacing w:w="15" w:type="dxa"/>
        </w:trPr>
        <w:tc>
          <w:tcPr>
            <w:tcW w:w="3387" w:type="pct"/>
            <w:vAlign w:val="center"/>
            <w:hideMark/>
          </w:tcPr>
          <w:p w14:paraId="04B2CFD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Expanded ANCOVA (additional baseline radiographic variables and comorbidity/diagnosis/smoking)</w:t>
            </w:r>
          </w:p>
        </w:tc>
        <w:tc>
          <w:tcPr>
            <w:tcW w:w="626" w:type="pct"/>
            <w:vAlign w:val="center"/>
            <w:hideMark/>
          </w:tcPr>
          <w:p w14:paraId="5ADB86B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5.46</w:t>
            </w:r>
          </w:p>
        </w:tc>
        <w:tc>
          <w:tcPr>
            <w:tcW w:w="538" w:type="pct"/>
            <w:vAlign w:val="center"/>
            <w:hideMark/>
          </w:tcPr>
          <w:p w14:paraId="32CB71F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1.91 to 9.00</w:t>
            </w:r>
          </w:p>
        </w:tc>
        <w:tc>
          <w:tcPr>
            <w:tcW w:w="359" w:type="pct"/>
            <w:vAlign w:val="center"/>
            <w:hideMark/>
          </w:tcPr>
          <w:p w14:paraId="41DF207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0.003</w:t>
            </w:r>
          </w:p>
        </w:tc>
      </w:tr>
      <w:tr w:rsidR="00FD55D2" w:rsidRPr="00285F85" w14:paraId="7FCE79C4" w14:textId="77777777" w:rsidTr="00FD55D2">
        <w:trPr>
          <w:tblCellSpacing w:w="15" w:type="dxa"/>
        </w:trPr>
        <w:tc>
          <w:tcPr>
            <w:tcW w:w="3387" w:type="pct"/>
            <w:vAlign w:val="center"/>
            <w:hideMark/>
          </w:tcPr>
          <w:p w14:paraId="77EDF06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Sensitivity (ΔODI = pre–post; higher values indicate improvement)</w:t>
            </w:r>
          </w:p>
        </w:tc>
        <w:tc>
          <w:tcPr>
            <w:tcW w:w="626" w:type="pct"/>
            <w:vAlign w:val="center"/>
            <w:hideMark/>
          </w:tcPr>
          <w:p w14:paraId="7E2BED9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−5.04</w:t>
            </w:r>
          </w:p>
        </w:tc>
        <w:tc>
          <w:tcPr>
            <w:tcW w:w="538" w:type="pct"/>
            <w:vAlign w:val="center"/>
            <w:hideMark/>
          </w:tcPr>
          <w:p w14:paraId="76469BC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−8.49 to −1.60</w:t>
            </w:r>
          </w:p>
        </w:tc>
        <w:tc>
          <w:tcPr>
            <w:tcW w:w="359" w:type="pct"/>
            <w:vAlign w:val="center"/>
            <w:hideMark/>
          </w:tcPr>
          <w:p w14:paraId="0DD3577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0.005</w:t>
            </w:r>
          </w:p>
        </w:tc>
      </w:tr>
    </w:tbl>
    <w:p w14:paraId="2F224DBD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Notes: β indicates the estimated effect of OLIF relative to PLIF. The primary and expanded ANCOVA models use final ODI as the dependent variable; the sensitivity model uses ΔODI (pre–post), therefore the sign of β is expected to be reversed relative to models with final ODI as the outcome.</w:t>
      </w:r>
    </w:p>
    <w:p w14:paraId="520D171D" w14:textId="344DD162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</w:p>
    <w:p w14:paraId="5B3C8A00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Supplementary Table S4. Procedure-by-radiographic-change interaction analyses with FDR adjustment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2"/>
        <w:gridCol w:w="776"/>
        <w:gridCol w:w="1668"/>
        <w:gridCol w:w="815"/>
        <w:gridCol w:w="1555"/>
      </w:tblGrid>
      <w:tr w:rsidR="00FD55D2" w:rsidRPr="00285F85" w14:paraId="17D50FAC" w14:textId="77777777" w:rsidTr="00FD55D2">
        <w:trPr>
          <w:tblHeader/>
          <w:tblCellSpacing w:w="15" w:type="dxa"/>
        </w:trPr>
        <w:tc>
          <w:tcPr>
            <w:tcW w:w="206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87135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Radiographic change (post–pre)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FED02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β</w:t>
            </w:r>
          </w:p>
        </w:tc>
        <w:tc>
          <w:tcPr>
            <w:tcW w:w="98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84E55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95% CI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5F7E7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 value</w:t>
            </w:r>
          </w:p>
        </w:tc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83941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 value (FDR)</w:t>
            </w:r>
          </w:p>
        </w:tc>
      </w:tr>
      <w:tr w:rsidR="00FD55D2" w:rsidRPr="00285F85" w14:paraId="0132FC20" w14:textId="77777777" w:rsidTr="00FD55D2">
        <w:trPr>
          <w:tblCellSpacing w:w="15" w:type="dxa"/>
        </w:trPr>
        <w:tc>
          <w:tcPr>
            <w:tcW w:w="2068" w:type="pct"/>
            <w:vAlign w:val="center"/>
            <w:hideMark/>
          </w:tcPr>
          <w:p w14:paraId="63C700B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ΔDisc</w:t>
            </w:r>
            <w:proofErr w:type="spellEnd"/>
            <w:r w:rsidRPr="00285F85">
              <w:rPr>
                <w:rFonts w:eastAsia="宋体" w:cs="Times New Roman"/>
                <w:lang w:eastAsia="zh-CN"/>
              </w:rPr>
              <w:t xml:space="preserve"> height (DH)</w:t>
            </w:r>
          </w:p>
        </w:tc>
        <w:tc>
          <w:tcPr>
            <w:tcW w:w="448" w:type="pct"/>
            <w:vAlign w:val="center"/>
            <w:hideMark/>
          </w:tcPr>
          <w:p w14:paraId="647448E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−1.915</w:t>
            </w:r>
          </w:p>
        </w:tc>
        <w:tc>
          <w:tcPr>
            <w:tcW w:w="983" w:type="pct"/>
            <w:vAlign w:val="center"/>
            <w:hideMark/>
          </w:tcPr>
          <w:p w14:paraId="5C1D6B2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−3.837 to 0.007</w:t>
            </w:r>
          </w:p>
        </w:tc>
        <w:tc>
          <w:tcPr>
            <w:tcW w:w="471" w:type="pct"/>
            <w:vAlign w:val="center"/>
            <w:hideMark/>
          </w:tcPr>
          <w:p w14:paraId="6FA4C1EF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0.051</w:t>
            </w:r>
          </w:p>
        </w:tc>
        <w:tc>
          <w:tcPr>
            <w:tcW w:w="906" w:type="pct"/>
            <w:vAlign w:val="center"/>
            <w:hideMark/>
          </w:tcPr>
          <w:p w14:paraId="1EB0D6F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0.152</w:t>
            </w:r>
          </w:p>
        </w:tc>
      </w:tr>
      <w:tr w:rsidR="00FD55D2" w:rsidRPr="00285F85" w14:paraId="00E417E2" w14:textId="77777777" w:rsidTr="00FD55D2">
        <w:trPr>
          <w:tblCellSpacing w:w="15" w:type="dxa"/>
        </w:trPr>
        <w:tc>
          <w:tcPr>
            <w:tcW w:w="2068" w:type="pct"/>
            <w:vAlign w:val="center"/>
            <w:hideMark/>
          </w:tcPr>
          <w:p w14:paraId="1BFF14E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ΔForaminal</w:t>
            </w:r>
            <w:proofErr w:type="spellEnd"/>
            <w:r w:rsidRPr="00285F85">
              <w:rPr>
                <w:rFonts w:eastAsia="宋体" w:cs="Times New Roman"/>
                <w:lang w:eastAsia="zh-CN"/>
              </w:rPr>
              <w:t xml:space="preserve"> height (FH)</w:t>
            </w:r>
          </w:p>
        </w:tc>
        <w:tc>
          <w:tcPr>
            <w:tcW w:w="448" w:type="pct"/>
            <w:vAlign w:val="center"/>
            <w:hideMark/>
          </w:tcPr>
          <w:p w14:paraId="23D2452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−0.432</w:t>
            </w:r>
          </w:p>
        </w:tc>
        <w:tc>
          <w:tcPr>
            <w:tcW w:w="983" w:type="pct"/>
            <w:vAlign w:val="center"/>
            <w:hideMark/>
          </w:tcPr>
          <w:p w14:paraId="54B4B17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−1.817 to 0.954</w:t>
            </w:r>
          </w:p>
        </w:tc>
        <w:tc>
          <w:tcPr>
            <w:tcW w:w="471" w:type="pct"/>
            <w:vAlign w:val="center"/>
            <w:hideMark/>
          </w:tcPr>
          <w:p w14:paraId="330909D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0.538</w:t>
            </w:r>
          </w:p>
        </w:tc>
        <w:tc>
          <w:tcPr>
            <w:tcW w:w="906" w:type="pct"/>
            <w:vAlign w:val="center"/>
            <w:hideMark/>
          </w:tcPr>
          <w:p w14:paraId="7CCA888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0.660</w:t>
            </w:r>
          </w:p>
        </w:tc>
      </w:tr>
      <w:tr w:rsidR="00FD55D2" w:rsidRPr="00285F85" w14:paraId="08C61BE9" w14:textId="77777777" w:rsidTr="00FD55D2">
        <w:trPr>
          <w:tblCellSpacing w:w="15" w:type="dxa"/>
        </w:trPr>
        <w:tc>
          <w:tcPr>
            <w:tcW w:w="2068" w:type="pct"/>
            <w:tcBorders>
              <w:bottom w:val="single" w:sz="4" w:space="0" w:color="auto"/>
            </w:tcBorders>
            <w:vAlign w:val="center"/>
            <w:hideMark/>
          </w:tcPr>
          <w:p w14:paraId="4974EA2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ΔSegmental</w:t>
            </w:r>
            <w:proofErr w:type="spellEnd"/>
            <w:r w:rsidRPr="00285F85">
              <w:rPr>
                <w:rFonts w:eastAsia="宋体" w:cs="Times New Roman"/>
                <w:lang w:eastAsia="zh-CN"/>
              </w:rPr>
              <w:t xml:space="preserve"> lordosis angle (SLA)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vAlign w:val="center"/>
            <w:hideMark/>
          </w:tcPr>
          <w:p w14:paraId="2548BF9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−0.192</w:t>
            </w:r>
          </w:p>
        </w:tc>
        <w:tc>
          <w:tcPr>
            <w:tcW w:w="983" w:type="pct"/>
            <w:tcBorders>
              <w:bottom w:val="single" w:sz="4" w:space="0" w:color="auto"/>
            </w:tcBorders>
            <w:vAlign w:val="center"/>
            <w:hideMark/>
          </w:tcPr>
          <w:p w14:paraId="72EA600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−1.057 to 0.673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vAlign w:val="center"/>
            <w:hideMark/>
          </w:tcPr>
          <w:p w14:paraId="2473403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0.660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  <w:hideMark/>
          </w:tcPr>
          <w:p w14:paraId="74735D1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0.660</w:t>
            </w:r>
          </w:p>
        </w:tc>
      </w:tr>
    </w:tbl>
    <w:p w14:paraId="33297F1B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Notes: Interaction terms test whether the association between radiographic change and outcome differs by procedure (OLIF vs PLIF). FDR-adjusted P values account for multiple comparisons.</w:t>
      </w:r>
    </w:p>
    <w:p w14:paraId="59FDF0E5" w14:textId="6FDC8CDF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</w:p>
    <w:p w14:paraId="7E0F62F8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Supplementary Table S5. Distribution of follow-up duration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280"/>
        <w:gridCol w:w="1841"/>
        <w:gridCol w:w="2063"/>
        <w:gridCol w:w="427"/>
        <w:gridCol w:w="464"/>
        <w:gridCol w:w="1289"/>
        <w:gridCol w:w="1304"/>
      </w:tblGrid>
      <w:tr w:rsidR="00FD55D2" w:rsidRPr="00285F85" w14:paraId="2A0531FA" w14:textId="77777777" w:rsidTr="00FD55D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54C5DF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37C69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C97841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Mean ± SD (months)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17055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Median (IQR) (months)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34CF7F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08FC6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Max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C7B6E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≥48 months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C0EB0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≥60 months</w:t>
            </w:r>
          </w:p>
        </w:tc>
      </w:tr>
      <w:tr w:rsidR="00FD55D2" w:rsidRPr="00285F85" w14:paraId="3FC65A2D" w14:textId="77777777" w:rsidTr="00FD5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B13C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PLIF</w:t>
            </w:r>
          </w:p>
        </w:tc>
        <w:tc>
          <w:tcPr>
            <w:tcW w:w="0" w:type="auto"/>
            <w:vAlign w:val="center"/>
            <w:hideMark/>
          </w:tcPr>
          <w:p w14:paraId="55123F2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380D020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52.3 ± 10.0</w:t>
            </w:r>
          </w:p>
        </w:tc>
        <w:tc>
          <w:tcPr>
            <w:tcW w:w="0" w:type="auto"/>
            <w:vAlign w:val="center"/>
            <w:hideMark/>
          </w:tcPr>
          <w:p w14:paraId="66127D2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51.0 (IQR 43.0–62.0)</w:t>
            </w:r>
          </w:p>
        </w:tc>
        <w:tc>
          <w:tcPr>
            <w:tcW w:w="0" w:type="auto"/>
            <w:vAlign w:val="center"/>
            <w:hideMark/>
          </w:tcPr>
          <w:p w14:paraId="6E5777F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2CA206D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5EEC298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34/53 (64.2%)</w:t>
            </w:r>
          </w:p>
        </w:tc>
        <w:tc>
          <w:tcPr>
            <w:tcW w:w="0" w:type="auto"/>
            <w:vAlign w:val="center"/>
            <w:hideMark/>
          </w:tcPr>
          <w:p w14:paraId="2501592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17/53 (32.1%)</w:t>
            </w:r>
          </w:p>
        </w:tc>
      </w:tr>
      <w:tr w:rsidR="00FD55D2" w:rsidRPr="00285F85" w14:paraId="68385FBA" w14:textId="77777777" w:rsidTr="00FD5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E59D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lastRenderedPageBreak/>
              <w:t>OLIF</w:t>
            </w:r>
          </w:p>
        </w:tc>
        <w:tc>
          <w:tcPr>
            <w:tcW w:w="0" w:type="auto"/>
            <w:vAlign w:val="center"/>
            <w:hideMark/>
          </w:tcPr>
          <w:p w14:paraId="0549AA1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760EAFB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51.5 ± 8.5</w:t>
            </w:r>
          </w:p>
        </w:tc>
        <w:tc>
          <w:tcPr>
            <w:tcW w:w="0" w:type="auto"/>
            <w:vAlign w:val="center"/>
            <w:hideMark/>
          </w:tcPr>
          <w:p w14:paraId="2C77A8E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50.0 (IQR 44.0–59.0)</w:t>
            </w:r>
          </w:p>
        </w:tc>
        <w:tc>
          <w:tcPr>
            <w:tcW w:w="0" w:type="auto"/>
            <w:vAlign w:val="center"/>
            <w:hideMark/>
          </w:tcPr>
          <w:p w14:paraId="0598041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33E162C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6896911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30/47 (63.8%)</w:t>
            </w:r>
          </w:p>
        </w:tc>
        <w:tc>
          <w:tcPr>
            <w:tcW w:w="0" w:type="auto"/>
            <w:vAlign w:val="center"/>
            <w:hideMark/>
          </w:tcPr>
          <w:p w14:paraId="7349907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10/47 (21.3%)</w:t>
            </w:r>
          </w:p>
        </w:tc>
      </w:tr>
    </w:tbl>
    <w:p w14:paraId="55BD4074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Notes: Follow-up duration is summarized in months using mean ± SD, median (IQR), range, and the proportion of patients with follow-up ≥48 and ≥60 months.</w:t>
      </w:r>
    </w:p>
    <w:p w14:paraId="585E92D5" w14:textId="13166932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</w:p>
    <w:p w14:paraId="3F33D669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Supplementary Table S6. IPTW doubly robust model for final ODI (propensity score based on baseline variables only)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270"/>
        <w:gridCol w:w="884"/>
        <w:gridCol w:w="658"/>
        <w:gridCol w:w="2212"/>
      </w:tblGrid>
      <w:tr w:rsidR="00FD55D2" w:rsidRPr="00285F85" w14:paraId="601FD38A" w14:textId="77777777" w:rsidTr="00FD55D2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B55C9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Outcome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AE4D5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β (OLIF vs PLIF)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3DA1B2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150C6D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2E902D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Weight trimming</w:t>
            </w:r>
          </w:p>
        </w:tc>
      </w:tr>
      <w:tr w:rsidR="00FD55D2" w:rsidRPr="00285F85" w14:paraId="486C3242" w14:textId="77777777" w:rsidTr="00FD5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34D9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Final ODI (IPTW doubly robust; baseline-only PS)</w:t>
            </w:r>
          </w:p>
        </w:tc>
        <w:tc>
          <w:tcPr>
            <w:tcW w:w="0" w:type="auto"/>
            <w:vAlign w:val="center"/>
            <w:hideMark/>
          </w:tcPr>
          <w:p w14:paraId="59C5833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5.05</w:t>
            </w:r>
          </w:p>
        </w:tc>
        <w:tc>
          <w:tcPr>
            <w:tcW w:w="0" w:type="auto"/>
            <w:vAlign w:val="center"/>
            <w:hideMark/>
          </w:tcPr>
          <w:p w14:paraId="094870A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1.86 to 8.24</w:t>
            </w:r>
          </w:p>
        </w:tc>
        <w:tc>
          <w:tcPr>
            <w:tcW w:w="0" w:type="auto"/>
            <w:vAlign w:val="center"/>
            <w:hideMark/>
          </w:tcPr>
          <w:p w14:paraId="3B16D16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50713CA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 xml:space="preserve">Baseline-only PS; </w:t>
            </w:r>
          </w:p>
          <w:p w14:paraId="2045072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 xml:space="preserve">stabilized weights; </w:t>
            </w:r>
          </w:p>
          <w:p w14:paraId="30D9EF1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 xml:space="preserve">trimmed at 1st–99th percentiles </w:t>
            </w:r>
          </w:p>
          <w:p w14:paraId="756BECE6" w14:textId="132FEE69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(0.69–1.72)</w:t>
            </w:r>
          </w:p>
        </w:tc>
      </w:tr>
    </w:tbl>
    <w:p w14:paraId="79D0EDCF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Notes: Propensity scores (PS) were estimated using baseline variables only. Analyses used stabilized inverse probability of treatment weights (IPTW) with trimming at the 1st–99th percentiles.</w:t>
      </w:r>
    </w:p>
    <w:p w14:paraId="5F400440" w14:textId="4EA55E55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</w:p>
    <w:p w14:paraId="35EFF460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Supplementary Table S7. Covariate balance before and after IPTW (baseline-only propensity score)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5"/>
        <w:gridCol w:w="2488"/>
        <w:gridCol w:w="3064"/>
        <w:gridCol w:w="1299"/>
      </w:tblGrid>
      <w:tr w:rsidR="00FD55D2" w:rsidRPr="00285F85" w14:paraId="36CF4036" w14:textId="77777777" w:rsidTr="00FD55D2">
        <w:trPr>
          <w:tblHeader/>
          <w:tblCellSpacing w:w="15" w:type="dxa"/>
        </w:trPr>
        <w:tc>
          <w:tcPr>
            <w:tcW w:w="841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17EDAA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Covariate</w:t>
            </w:r>
          </w:p>
        </w:tc>
        <w:tc>
          <w:tcPr>
            <w:tcW w:w="1466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A96C8A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SMD (unadjusted)</w:t>
            </w:r>
          </w:p>
        </w:tc>
        <w:tc>
          <w:tcPr>
            <w:tcW w:w="1811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9B966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SMD (IPTW-adjusted)</w:t>
            </w:r>
          </w:p>
        </w:tc>
        <w:tc>
          <w:tcPr>
            <w:tcW w:w="74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E636C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Balanced</w:t>
            </w:r>
          </w:p>
        </w:tc>
      </w:tr>
      <w:tr w:rsidR="00FD55D2" w:rsidRPr="00285F85" w14:paraId="66100385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47DF370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prop.score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594DDD9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0.464</w:t>
            </w:r>
          </w:p>
        </w:tc>
        <w:tc>
          <w:tcPr>
            <w:tcW w:w="1811" w:type="pct"/>
            <w:vAlign w:val="center"/>
            <w:hideMark/>
          </w:tcPr>
          <w:p w14:paraId="1B3B5EA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0.000</w:t>
            </w:r>
          </w:p>
        </w:tc>
        <w:tc>
          <w:tcPr>
            <w:tcW w:w="749" w:type="pct"/>
            <w:vAlign w:val="center"/>
            <w:hideMark/>
          </w:tcPr>
          <w:p w14:paraId="4FAAC9E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6DC70DFC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0F64016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odi_pre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0A96781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0.111</w:t>
            </w:r>
          </w:p>
        </w:tc>
        <w:tc>
          <w:tcPr>
            <w:tcW w:w="1811" w:type="pct"/>
            <w:vAlign w:val="center"/>
            <w:hideMark/>
          </w:tcPr>
          <w:p w14:paraId="498A535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0.022</w:t>
            </w:r>
          </w:p>
        </w:tc>
        <w:tc>
          <w:tcPr>
            <w:tcW w:w="749" w:type="pct"/>
            <w:vAlign w:val="center"/>
            <w:hideMark/>
          </w:tcPr>
          <w:p w14:paraId="5AAB040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61C660AC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08705D4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age</w:t>
            </w:r>
          </w:p>
        </w:tc>
        <w:tc>
          <w:tcPr>
            <w:tcW w:w="1466" w:type="pct"/>
            <w:vAlign w:val="center"/>
            <w:hideMark/>
          </w:tcPr>
          <w:p w14:paraId="59B759D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0.175</w:t>
            </w:r>
          </w:p>
        </w:tc>
        <w:tc>
          <w:tcPr>
            <w:tcW w:w="1811" w:type="pct"/>
            <w:vAlign w:val="center"/>
            <w:hideMark/>
          </w:tcPr>
          <w:p w14:paraId="69FD656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0.000</w:t>
            </w:r>
          </w:p>
        </w:tc>
        <w:tc>
          <w:tcPr>
            <w:tcW w:w="749" w:type="pct"/>
            <w:vAlign w:val="center"/>
            <w:hideMark/>
          </w:tcPr>
          <w:p w14:paraId="3928801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071EAC8E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1277856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female</w:t>
            </w:r>
          </w:p>
        </w:tc>
        <w:tc>
          <w:tcPr>
            <w:tcW w:w="1466" w:type="pct"/>
            <w:vAlign w:val="center"/>
            <w:hideMark/>
          </w:tcPr>
          <w:p w14:paraId="0E46390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0.184</w:t>
            </w:r>
          </w:p>
        </w:tc>
        <w:tc>
          <w:tcPr>
            <w:tcW w:w="1811" w:type="pct"/>
            <w:vAlign w:val="center"/>
            <w:hideMark/>
          </w:tcPr>
          <w:p w14:paraId="3706B59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0.008</w:t>
            </w:r>
          </w:p>
        </w:tc>
        <w:tc>
          <w:tcPr>
            <w:tcW w:w="749" w:type="pct"/>
            <w:vAlign w:val="center"/>
            <w:hideMark/>
          </w:tcPr>
          <w:p w14:paraId="1771E30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69DC9587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3ECE7B7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bmi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12640AD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0.209</w:t>
            </w:r>
          </w:p>
        </w:tc>
        <w:tc>
          <w:tcPr>
            <w:tcW w:w="1811" w:type="pct"/>
            <w:vAlign w:val="center"/>
            <w:hideMark/>
          </w:tcPr>
          <w:p w14:paraId="23013FF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0.023</w:t>
            </w:r>
          </w:p>
        </w:tc>
        <w:tc>
          <w:tcPr>
            <w:tcW w:w="749" w:type="pct"/>
            <w:vAlign w:val="center"/>
            <w:hideMark/>
          </w:tcPr>
          <w:p w14:paraId="02008AE1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217C45CA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4E615A4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lastRenderedPageBreak/>
              <w:t>two_level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07D208E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0.177</w:t>
            </w:r>
          </w:p>
        </w:tc>
        <w:tc>
          <w:tcPr>
            <w:tcW w:w="1811" w:type="pct"/>
            <w:vAlign w:val="center"/>
            <w:hideMark/>
          </w:tcPr>
          <w:p w14:paraId="1FAD347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0.001</w:t>
            </w:r>
          </w:p>
        </w:tc>
        <w:tc>
          <w:tcPr>
            <w:tcW w:w="749" w:type="pct"/>
            <w:vAlign w:val="center"/>
            <w:hideMark/>
          </w:tcPr>
          <w:p w14:paraId="52C317F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02779704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378E1A0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ll_pre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6189F2A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0.087</w:t>
            </w:r>
          </w:p>
        </w:tc>
        <w:tc>
          <w:tcPr>
            <w:tcW w:w="1811" w:type="pct"/>
            <w:vAlign w:val="center"/>
            <w:hideMark/>
          </w:tcPr>
          <w:p w14:paraId="042F0EFF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0.033</w:t>
            </w:r>
          </w:p>
        </w:tc>
        <w:tc>
          <w:tcPr>
            <w:tcW w:w="749" w:type="pct"/>
            <w:vAlign w:val="center"/>
            <w:hideMark/>
          </w:tcPr>
          <w:p w14:paraId="1C5EF8B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71AD4838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40E9197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ss_pre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4982E01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0.113</w:t>
            </w:r>
          </w:p>
        </w:tc>
        <w:tc>
          <w:tcPr>
            <w:tcW w:w="1811" w:type="pct"/>
            <w:vAlign w:val="center"/>
            <w:hideMark/>
          </w:tcPr>
          <w:p w14:paraId="3CDBDED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0.017</w:t>
            </w:r>
          </w:p>
        </w:tc>
        <w:tc>
          <w:tcPr>
            <w:tcW w:w="749" w:type="pct"/>
            <w:vAlign w:val="center"/>
            <w:hideMark/>
          </w:tcPr>
          <w:p w14:paraId="5A00F46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727D7287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1FB871A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sla_pre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01ECB6F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0.138</w:t>
            </w:r>
          </w:p>
        </w:tc>
        <w:tc>
          <w:tcPr>
            <w:tcW w:w="1811" w:type="pct"/>
            <w:vAlign w:val="center"/>
            <w:hideMark/>
          </w:tcPr>
          <w:p w14:paraId="7133C40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0.004</w:t>
            </w:r>
          </w:p>
        </w:tc>
        <w:tc>
          <w:tcPr>
            <w:tcW w:w="749" w:type="pct"/>
            <w:vAlign w:val="center"/>
            <w:hideMark/>
          </w:tcPr>
          <w:p w14:paraId="69F4E18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6DB6F2C9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519F877F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dh_pre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701E070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0.192</w:t>
            </w:r>
          </w:p>
        </w:tc>
        <w:tc>
          <w:tcPr>
            <w:tcW w:w="1811" w:type="pct"/>
            <w:vAlign w:val="center"/>
            <w:hideMark/>
          </w:tcPr>
          <w:p w14:paraId="4B01577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0.009</w:t>
            </w:r>
          </w:p>
        </w:tc>
        <w:tc>
          <w:tcPr>
            <w:tcW w:w="749" w:type="pct"/>
            <w:vAlign w:val="center"/>
            <w:hideMark/>
          </w:tcPr>
          <w:p w14:paraId="0D86214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  <w:tr w:rsidR="00FD55D2" w:rsidRPr="00285F85" w14:paraId="7177EFCE" w14:textId="77777777" w:rsidTr="00FD55D2">
        <w:trPr>
          <w:tblCellSpacing w:w="15" w:type="dxa"/>
        </w:trPr>
        <w:tc>
          <w:tcPr>
            <w:tcW w:w="841" w:type="pct"/>
            <w:vAlign w:val="center"/>
            <w:hideMark/>
          </w:tcPr>
          <w:p w14:paraId="1E8CF4F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proofErr w:type="spellStart"/>
            <w:r w:rsidRPr="00285F85">
              <w:rPr>
                <w:rFonts w:eastAsia="宋体" w:cs="Times New Roman"/>
                <w:lang w:eastAsia="zh-CN"/>
              </w:rPr>
              <w:t>fh_pre</w:t>
            </w:r>
            <w:proofErr w:type="spellEnd"/>
          </w:p>
        </w:tc>
        <w:tc>
          <w:tcPr>
            <w:tcW w:w="1466" w:type="pct"/>
            <w:vAlign w:val="center"/>
            <w:hideMark/>
          </w:tcPr>
          <w:p w14:paraId="209F846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0.152</w:t>
            </w:r>
          </w:p>
        </w:tc>
        <w:tc>
          <w:tcPr>
            <w:tcW w:w="1811" w:type="pct"/>
            <w:vAlign w:val="center"/>
            <w:hideMark/>
          </w:tcPr>
          <w:p w14:paraId="22A6110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0.009</w:t>
            </w:r>
          </w:p>
        </w:tc>
        <w:tc>
          <w:tcPr>
            <w:tcW w:w="749" w:type="pct"/>
            <w:vAlign w:val="center"/>
            <w:hideMark/>
          </w:tcPr>
          <w:p w14:paraId="57E7C4D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Yes</w:t>
            </w:r>
          </w:p>
        </w:tc>
      </w:tr>
    </w:tbl>
    <w:p w14:paraId="2137A168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 xml:space="preserve">Notes: SMD indicates standardized mean difference. “IPTW-adjusted” reflects covariate balance after applying stabilized IPTW. “Balanced” indicates acceptable post-weighting balance (commonly |SMD| ≤ 0.10). Abbreviations: </w:t>
      </w:r>
      <w:proofErr w:type="spellStart"/>
      <w:r w:rsidRPr="00285F85">
        <w:rPr>
          <w:rFonts w:eastAsia="宋体" w:cs="Times New Roman"/>
          <w:i/>
          <w:iCs/>
          <w:lang w:eastAsia="zh-CN"/>
        </w:rPr>
        <w:t>odi_pre</w:t>
      </w:r>
      <w:proofErr w:type="spellEnd"/>
      <w:r w:rsidRPr="00285F85">
        <w:rPr>
          <w:rFonts w:eastAsia="宋体" w:cs="Times New Roman"/>
          <w:lang w:eastAsia="zh-CN"/>
        </w:rPr>
        <w:t xml:space="preserve">, baseline ODI; </w:t>
      </w:r>
      <w:proofErr w:type="spellStart"/>
      <w:r w:rsidRPr="00285F85">
        <w:rPr>
          <w:rFonts w:eastAsia="宋体" w:cs="Times New Roman"/>
          <w:i/>
          <w:iCs/>
          <w:lang w:eastAsia="zh-CN"/>
        </w:rPr>
        <w:t>two_level</w:t>
      </w:r>
      <w:proofErr w:type="spellEnd"/>
      <w:r w:rsidRPr="00285F85">
        <w:rPr>
          <w:rFonts w:eastAsia="宋体" w:cs="Times New Roman"/>
          <w:lang w:eastAsia="zh-CN"/>
        </w:rPr>
        <w:t xml:space="preserve">, two-level procedure; </w:t>
      </w:r>
      <w:proofErr w:type="spellStart"/>
      <w:r w:rsidRPr="00285F85">
        <w:rPr>
          <w:rFonts w:eastAsia="宋体" w:cs="Times New Roman"/>
          <w:i/>
          <w:iCs/>
          <w:lang w:eastAsia="zh-CN"/>
        </w:rPr>
        <w:t>ll_pre</w:t>
      </w:r>
      <w:proofErr w:type="spellEnd"/>
      <w:r w:rsidRPr="00285F85">
        <w:rPr>
          <w:rFonts w:eastAsia="宋体" w:cs="Times New Roman"/>
          <w:lang w:eastAsia="zh-CN"/>
        </w:rPr>
        <w:t xml:space="preserve">, lumbar lordosis; </w:t>
      </w:r>
      <w:proofErr w:type="spellStart"/>
      <w:r w:rsidRPr="00285F85">
        <w:rPr>
          <w:rFonts w:eastAsia="宋体" w:cs="Times New Roman"/>
          <w:i/>
          <w:iCs/>
          <w:lang w:eastAsia="zh-CN"/>
        </w:rPr>
        <w:t>ss_pre</w:t>
      </w:r>
      <w:proofErr w:type="spellEnd"/>
      <w:r w:rsidRPr="00285F85">
        <w:rPr>
          <w:rFonts w:eastAsia="宋体" w:cs="Times New Roman"/>
          <w:lang w:eastAsia="zh-CN"/>
        </w:rPr>
        <w:t xml:space="preserve">, sacral slope; </w:t>
      </w:r>
      <w:proofErr w:type="spellStart"/>
      <w:r w:rsidRPr="00285F85">
        <w:rPr>
          <w:rFonts w:eastAsia="宋体" w:cs="Times New Roman"/>
          <w:i/>
          <w:iCs/>
          <w:lang w:eastAsia="zh-CN"/>
        </w:rPr>
        <w:t>sla_pre</w:t>
      </w:r>
      <w:proofErr w:type="spellEnd"/>
      <w:r w:rsidRPr="00285F85">
        <w:rPr>
          <w:rFonts w:eastAsia="宋体" w:cs="Times New Roman"/>
          <w:lang w:eastAsia="zh-CN"/>
        </w:rPr>
        <w:t xml:space="preserve">, segmental lordosis angle; </w:t>
      </w:r>
      <w:proofErr w:type="spellStart"/>
      <w:r w:rsidRPr="00285F85">
        <w:rPr>
          <w:rFonts w:eastAsia="宋体" w:cs="Times New Roman"/>
          <w:i/>
          <w:iCs/>
          <w:lang w:eastAsia="zh-CN"/>
        </w:rPr>
        <w:t>dh_pre</w:t>
      </w:r>
      <w:proofErr w:type="spellEnd"/>
      <w:r w:rsidRPr="00285F85">
        <w:rPr>
          <w:rFonts w:eastAsia="宋体" w:cs="Times New Roman"/>
          <w:lang w:eastAsia="zh-CN"/>
        </w:rPr>
        <w:t xml:space="preserve">, disc height; </w:t>
      </w:r>
      <w:proofErr w:type="spellStart"/>
      <w:r w:rsidRPr="00285F85">
        <w:rPr>
          <w:rFonts w:eastAsia="宋体" w:cs="Times New Roman"/>
          <w:i/>
          <w:iCs/>
          <w:lang w:eastAsia="zh-CN"/>
        </w:rPr>
        <w:t>fh_pre</w:t>
      </w:r>
      <w:proofErr w:type="spellEnd"/>
      <w:r w:rsidRPr="00285F85">
        <w:rPr>
          <w:rFonts w:eastAsia="宋体" w:cs="Times New Roman"/>
          <w:lang w:eastAsia="zh-CN"/>
        </w:rPr>
        <w:t>, foraminal height.</w:t>
      </w:r>
    </w:p>
    <w:p w14:paraId="6E37D816" w14:textId="7326B0B9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</w:p>
    <w:p w14:paraId="6F69C4DE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Supplementary Table S8. MCID responder analyses (unadjusted and adjusted)</w:t>
      </w:r>
    </w:p>
    <w:p w14:paraId="47B262AC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(A) Responder rates by group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9"/>
        <w:gridCol w:w="622"/>
        <w:gridCol w:w="3110"/>
        <w:gridCol w:w="3125"/>
      </w:tblGrid>
      <w:tr w:rsidR="00FD55D2" w:rsidRPr="00285F85" w14:paraId="1CE569E4" w14:textId="77777777" w:rsidTr="00FD55D2">
        <w:trPr>
          <w:tblHeader/>
          <w:tblCellSpacing w:w="15" w:type="dxa"/>
        </w:trPr>
        <w:tc>
          <w:tcPr>
            <w:tcW w:w="82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803B3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Group</w:t>
            </w:r>
          </w:p>
        </w:tc>
        <w:tc>
          <w:tcPr>
            <w:tcW w:w="34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F6CD24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n</w:t>
            </w:r>
          </w:p>
        </w:tc>
        <w:tc>
          <w:tcPr>
            <w:tcW w:w="180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CCB95B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ΔODI ≥ 12.8</w:t>
            </w:r>
          </w:p>
        </w:tc>
        <w:tc>
          <w:tcPr>
            <w:tcW w:w="180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3BF9A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ΔVAS ≥ 1.5</w:t>
            </w:r>
          </w:p>
        </w:tc>
      </w:tr>
      <w:tr w:rsidR="00FD55D2" w:rsidRPr="00285F85" w14:paraId="157AACE9" w14:textId="77777777" w:rsidTr="00FD55D2">
        <w:trPr>
          <w:tblCellSpacing w:w="15" w:type="dxa"/>
        </w:trPr>
        <w:tc>
          <w:tcPr>
            <w:tcW w:w="825" w:type="pct"/>
            <w:vAlign w:val="center"/>
            <w:hideMark/>
          </w:tcPr>
          <w:p w14:paraId="281C0AB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PLIF</w:t>
            </w:r>
          </w:p>
        </w:tc>
        <w:tc>
          <w:tcPr>
            <w:tcW w:w="348" w:type="pct"/>
            <w:vAlign w:val="center"/>
            <w:hideMark/>
          </w:tcPr>
          <w:p w14:paraId="56D42C3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53</w:t>
            </w:r>
          </w:p>
        </w:tc>
        <w:tc>
          <w:tcPr>
            <w:tcW w:w="1809" w:type="pct"/>
            <w:vAlign w:val="center"/>
            <w:hideMark/>
          </w:tcPr>
          <w:p w14:paraId="24B0AE4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44/53 (83.0%)</w:t>
            </w:r>
          </w:p>
        </w:tc>
        <w:tc>
          <w:tcPr>
            <w:tcW w:w="1809" w:type="pct"/>
            <w:vAlign w:val="center"/>
            <w:hideMark/>
          </w:tcPr>
          <w:p w14:paraId="291B4033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52/53 (98.1%)</w:t>
            </w:r>
          </w:p>
        </w:tc>
      </w:tr>
      <w:tr w:rsidR="00FD55D2" w:rsidRPr="00285F85" w14:paraId="409C54FA" w14:textId="77777777" w:rsidTr="00FD55D2">
        <w:trPr>
          <w:tblCellSpacing w:w="15" w:type="dxa"/>
        </w:trPr>
        <w:tc>
          <w:tcPr>
            <w:tcW w:w="825" w:type="pct"/>
            <w:vAlign w:val="center"/>
            <w:hideMark/>
          </w:tcPr>
          <w:p w14:paraId="1E482BF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OLIF</w:t>
            </w:r>
          </w:p>
        </w:tc>
        <w:tc>
          <w:tcPr>
            <w:tcW w:w="348" w:type="pct"/>
            <w:vAlign w:val="center"/>
            <w:hideMark/>
          </w:tcPr>
          <w:p w14:paraId="51CB0A2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47</w:t>
            </w:r>
          </w:p>
        </w:tc>
        <w:tc>
          <w:tcPr>
            <w:tcW w:w="1809" w:type="pct"/>
            <w:vAlign w:val="center"/>
            <w:hideMark/>
          </w:tcPr>
          <w:p w14:paraId="75516430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29/47 (61.7%)</w:t>
            </w:r>
          </w:p>
        </w:tc>
        <w:tc>
          <w:tcPr>
            <w:tcW w:w="1809" w:type="pct"/>
            <w:vAlign w:val="center"/>
            <w:hideMark/>
          </w:tcPr>
          <w:p w14:paraId="4E7D867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41/47 (87.2%)</w:t>
            </w:r>
          </w:p>
        </w:tc>
      </w:tr>
    </w:tbl>
    <w:p w14:paraId="4874DB2E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Notes: ΔODI and ΔVAS are defined as pre–post, with higher values indicating greater improvement. MCID thresholds: ΔODI ≥ 12.8 and ΔVAS ≥ 1.5.</w:t>
      </w:r>
    </w:p>
    <w:p w14:paraId="46093DD1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(B) Unadjusted comparison (Fisher’s exact test; RR and RD)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8"/>
        <w:gridCol w:w="1836"/>
        <w:gridCol w:w="446"/>
        <w:gridCol w:w="570"/>
        <w:gridCol w:w="2926"/>
      </w:tblGrid>
      <w:tr w:rsidR="00FD55D2" w:rsidRPr="00285F85" w14:paraId="4445DAC8" w14:textId="77777777" w:rsidTr="00FD55D2">
        <w:trPr>
          <w:tblHeader/>
          <w:tblCellSpacing w:w="15" w:type="dxa"/>
        </w:trPr>
        <w:tc>
          <w:tcPr>
            <w:tcW w:w="149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B95470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Endpoint</w:t>
            </w:r>
          </w:p>
        </w:tc>
        <w:tc>
          <w:tcPr>
            <w:tcW w:w="1087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8D3AC8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Fisher’s exact P value</w:t>
            </w:r>
          </w:p>
        </w:tc>
        <w:tc>
          <w:tcPr>
            <w:tcW w:w="250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B8F1CD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RR</w:t>
            </w:r>
          </w:p>
        </w:tc>
        <w:tc>
          <w:tcPr>
            <w:tcW w:w="32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528E31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RD</w:t>
            </w:r>
          </w:p>
        </w:tc>
        <w:tc>
          <w:tcPr>
            <w:tcW w:w="173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25D415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Notes</w:t>
            </w:r>
          </w:p>
        </w:tc>
      </w:tr>
      <w:tr w:rsidR="00FD55D2" w:rsidRPr="00285F85" w14:paraId="15CF4B19" w14:textId="77777777" w:rsidTr="00FD55D2">
        <w:trPr>
          <w:tblCellSpacing w:w="15" w:type="dxa"/>
        </w:trPr>
        <w:tc>
          <w:tcPr>
            <w:tcW w:w="1495" w:type="pct"/>
            <w:vAlign w:val="center"/>
            <w:hideMark/>
          </w:tcPr>
          <w:p w14:paraId="46E70A7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ΔODI responder (unadjusted)</w:t>
            </w:r>
          </w:p>
        </w:tc>
        <w:tc>
          <w:tcPr>
            <w:tcW w:w="1087" w:type="pct"/>
            <w:vAlign w:val="center"/>
            <w:hideMark/>
          </w:tcPr>
          <w:p w14:paraId="288A437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0.024</w:t>
            </w:r>
          </w:p>
        </w:tc>
        <w:tc>
          <w:tcPr>
            <w:tcW w:w="250" w:type="pct"/>
            <w:vAlign w:val="center"/>
            <w:hideMark/>
          </w:tcPr>
          <w:p w14:paraId="5B4AEED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0.74</w:t>
            </w:r>
          </w:p>
        </w:tc>
        <w:tc>
          <w:tcPr>
            <w:tcW w:w="325" w:type="pct"/>
            <w:vAlign w:val="center"/>
            <w:hideMark/>
          </w:tcPr>
          <w:p w14:paraId="64B99A4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−0.21</w:t>
            </w:r>
          </w:p>
        </w:tc>
        <w:tc>
          <w:tcPr>
            <w:tcW w:w="1734" w:type="pct"/>
            <w:vAlign w:val="center"/>
            <w:hideMark/>
          </w:tcPr>
          <w:p w14:paraId="3F6160E7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RR/RD calculated as OLIF vs PLIF</w:t>
            </w:r>
          </w:p>
        </w:tc>
      </w:tr>
      <w:tr w:rsidR="00FD55D2" w:rsidRPr="00285F85" w14:paraId="35320C2C" w14:textId="77777777" w:rsidTr="00FD55D2">
        <w:trPr>
          <w:tblCellSpacing w:w="15" w:type="dxa"/>
        </w:trPr>
        <w:tc>
          <w:tcPr>
            <w:tcW w:w="1495" w:type="pct"/>
            <w:vAlign w:val="center"/>
            <w:hideMark/>
          </w:tcPr>
          <w:p w14:paraId="4C80B501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ΔVAS responder (unadjusted)</w:t>
            </w:r>
          </w:p>
        </w:tc>
        <w:tc>
          <w:tcPr>
            <w:tcW w:w="1087" w:type="pct"/>
            <w:vAlign w:val="center"/>
            <w:hideMark/>
          </w:tcPr>
          <w:p w14:paraId="00ACC6AD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0.049</w:t>
            </w:r>
          </w:p>
        </w:tc>
        <w:tc>
          <w:tcPr>
            <w:tcW w:w="250" w:type="pct"/>
            <w:vAlign w:val="center"/>
            <w:hideMark/>
          </w:tcPr>
          <w:p w14:paraId="7F4E901E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0.89</w:t>
            </w:r>
          </w:p>
        </w:tc>
        <w:tc>
          <w:tcPr>
            <w:tcW w:w="325" w:type="pct"/>
            <w:vAlign w:val="center"/>
            <w:hideMark/>
          </w:tcPr>
          <w:p w14:paraId="03FBD4B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−0.11</w:t>
            </w:r>
          </w:p>
        </w:tc>
        <w:tc>
          <w:tcPr>
            <w:tcW w:w="1734" w:type="pct"/>
            <w:vAlign w:val="center"/>
            <w:hideMark/>
          </w:tcPr>
          <w:p w14:paraId="6F1C8BF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RR/RD calculated as OLIF vs PLIF</w:t>
            </w:r>
          </w:p>
        </w:tc>
      </w:tr>
    </w:tbl>
    <w:p w14:paraId="5C09C9A0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lastRenderedPageBreak/>
        <w:t>Notes: RR = risk ratio; RD = risk difference.</w:t>
      </w:r>
    </w:p>
    <w:p w14:paraId="7E88F090" w14:textId="77777777" w:rsidR="00FD55D2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(C) Adjusted odds ratios (OLIF vs PLIF)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6"/>
        <w:gridCol w:w="676"/>
        <w:gridCol w:w="1715"/>
        <w:gridCol w:w="1109"/>
      </w:tblGrid>
      <w:tr w:rsidR="00FD55D2" w:rsidRPr="00285F85" w14:paraId="4964D967" w14:textId="77777777" w:rsidTr="00FD55D2">
        <w:trPr>
          <w:tblHeader/>
          <w:tblCellSpacing w:w="15" w:type="dxa"/>
        </w:trPr>
        <w:tc>
          <w:tcPr>
            <w:tcW w:w="2838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81C4A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Endpoint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628D72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OR</w:t>
            </w:r>
          </w:p>
        </w:tc>
        <w:tc>
          <w:tcPr>
            <w:tcW w:w="100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D9002B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95% CI</w:t>
            </w:r>
          </w:p>
        </w:tc>
        <w:tc>
          <w:tcPr>
            <w:tcW w:w="63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E83C7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P value</w:t>
            </w:r>
          </w:p>
        </w:tc>
      </w:tr>
      <w:tr w:rsidR="00FD55D2" w:rsidRPr="00285F85" w14:paraId="60EA27E0" w14:textId="77777777" w:rsidTr="00FD55D2">
        <w:trPr>
          <w:tblCellSpacing w:w="15" w:type="dxa"/>
        </w:trPr>
        <w:tc>
          <w:tcPr>
            <w:tcW w:w="2838" w:type="pct"/>
            <w:vAlign w:val="center"/>
            <w:hideMark/>
          </w:tcPr>
          <w:p w14:paraId="3CF53064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ΔODI responder (pre–post ≥ 12.8)</w:t>
            </w:r>
          </w:p>
        </w:tc>
        <w:tc>
          <w:tcPr>
            <w:tcW w:w="385" w:type="pct"/>
            <w:vAlign w:val="center"/>
            <w:hideMark/>
          </w:tcPr>
          <w:p w14:paraId="254E3C5A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0.28</w:t>
            </w:r>
          </w:p>
        </w:tc>
        <w:tc>
          <w:tcPr>
            <w:tcW w:w="1004" w:type="pct"/>
            <w:vAlign w:val="center"/>
            <w:hideMark/>
          </w:tcPr>
          <w:p w14:paraId="456E223C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0.10 to 0.77</w:t>
            </w:r>
          </w:p>
        </w:tc>
        <w:tc>
          <w:tcPr>
            <w:tcW w:w="634" w:type="pct"/>
            <w:vAlign w:val="center"/>
            <w:hideMark/>
          </w:tcPr>
          <w:p w14:paraId="2D2433F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0.014</w:t>
            </w:r>
          </w:p>
        </w:tc>
      </w:tr>
      <w:tr w:rsidR="00FD55D2" w:rsidRPr="00285F85" w14:paraId="11E855B2" w14:textId="77777777" w:rsidTr="00FD55D2">
        <w:trPr>
          <w:tblCellSpacing w:w="15" w:type="dxa"/>
        </w:trPr>
        <w:tc>
          <w:tcPr>
            <w:tcW w:w="2838" w:type="pct"/>
            <w:vAlign w:val="center"/>
            <w:hideMark/>
          </w:tcPr>
          <w:p w14:paraId="1208AF78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ΔVAS responder (pre–post ≥ 1.5)</w:t>
            </w:r>
          </w:p>
        </w:tc>
        <w:tc>
          <w:tcPr>
            <w:tcW w:w="385" w:type="pct"/>
            <w:vAlign w:val="center"/>
            <w:hideMark/>
          </w:tcPr>
          <w:p w14:paraId="72404211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0.12</w:t>
            </w:r>
          </w:p>
        </w:tc>
        <w:tc>
          <w:tcPr>
            <w:tcW w:w="1004" w:type="pct"/>
            <w:vAlign w:val="center"/>
            <w:hideMark/>
          </w:tcPr>
          <w:p w14:paraId="26337E36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0.01 to 1.13</w:t>
            </w:r>
          </w:p>
        </w:tc>
        <w:tc>
          <w:tcPr>
            <w:tcW w:w="634" w:type="pct"/>
            <w:vAlign w:val="center"/>
            <w:hideMark/>
          </w:tcPr>
          <w:p w14:paraId="207DB729" w14:textId="77777777" w:rsidR="00FD55D2" w:rsidRPr="00285F85" w:rsidRDefault="00FD55D2" w:rsidP="00285F85">
            <w:pPr>
              <w:spacing w:after="0" w:line="360" w:lineRule="auto"/>
              <w:rPr>
                <w:rFonts w:eastAsia="宋体" w:cs="Times New Roman"/>
                <w:lang w:eastAsia="zh-CN"/>
              </w:rPr>
            </w:pPr>
            <w:r w:rsidRPr="00285F85">
              <w:rPr>
                <w:rFonts w:eastAsia="宋体" w:cs="Times New Roman"/>
                <w:lang w:eastAsia="zh-CN"/>
              </w:rPr>
              <w:t>0.064</w:t>
            </w:r>
          </w:p>
        </w:tc>
      </w:tr>
    </w:tbl>
    <w:p w14:paraId="655AB81A" w14:textId="27C62EE8" w:rsidR="00860367" w:rsidRPr="00285F85" w:rsidRDefault="00FD55D2" w:rsidP="00285F85">
      <w:pPr>
        <w:spacing w:after="0" w:line="360" w:lineRule="auto"/>
        <w:rPr>
          <w:rFonts w:eastAsia="宋体" w:cs="Times New Roman"/>
          <w:lang w:eastAsia="zh-CN"/>
        </w:rPr>
      </w:pPr>
      <w:r w:rsidRPr="00285F85">
        <w:rPr>
          <w:rFonts w:eastAsia="宋体" w:cs="Times New Roman"/>
          <w:lang w:eastAsia="zh-CN"/>
        </w:rPr>
        <w:t>Notes: ORs were obtained from an adjusted logistic regression model comparing OLIF vs PLIF.</w:t>
      </w:r>
    </w:p>
    <w:sectPr w:rsidR="00860367" w:rsidRPr="00285F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766BF" w14:textId="77777777" w:rsidR="00AC6719" w:rsidRDefault="00AC6719" w:rsidP="00E85429">
      <w:pPr>
        <w:spacing w:after="0" w:line="240" w:lineRule="auto"/>
      </w:pPr>
      <w:r>
        <w:separator/>
      </w:r>
    </w:p>
  </w:endnote>
  <w:endnote w:type="continuationSeparator" w:id="0">
    <w:p w14:paraId="01F75183" w14:textId="77777777" w:rsidR="00AC6719" w:rsidRDefault="00AC6719" w:rsidP="00E85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14171" w14:textId="77777777" w:rsidR="00AC6719" w:rsidRDefault="00AC6719" w:rsidP="00E85429">
      <w:pPr>
        <w:spacing w:after="0" w:line="240" w:lineRule="auto"/>
      </w:pPr>
      <w:r>
        <w:separator/>
      </w:r>
    </w:p>
  </w:footnote>
  <w:footnote w:type="continuationSeparator" w:id="0">
    <w:p w14:paraId="1B461984" w14:textId="77777777" w:rsidR="00AC6719" w:rsidRDefault="00AC6719" w:rsidP="00E854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84"/>
    <w:rsid w:val="001777A1"/>
    <w:rsid w:val="001C654D"/>
    <w:rsid w:val="00285F85"/>
    <w:rsid w:val="002F72BB"/>
    <w:rsid w:val="003C2F94"/>
    <w:rsid w:val="003D0EC2"/>
    <w:rsid w:val="00506636"/>
    <w:rsid w:val="00540A66"/>
    <w:rsid w:val="00544484"/>
    <w:rsid w:val="006B002B"/>
    <w:rsid w:val="00860367"/>
    <w:rsid w:val="009B799A"/>
    <w:rsid w:val="009F33D6"/>
    <w:rsid w:val="00A81F6F"/>
    <w:rsid w:val="00AA5C2B"/>
    <w:rsid w:val="00AC6719"/>
    <w:rsid w:val="00BE605D"/>
    <w:rsid w:val="00C32B9F"/>
    <w:rsid w:val="00C45B5C"/>
    <w:rsid w:val="00DF718A"/>
    <w:rsid w:val="00E02D71"/>
    <w:rsid w:val="00E12C6F"/>
    <w:rsid w:val="00E14A8D"/>
    <w:rsid w:val="00E8177B"/>
    <w:rsid w:val="00E85429"/>
    <w:rsid w:val="00F27F83"/>
    <w:rsid w:val="00FD55D2"/>
    <w:rsid w:val="00FE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83FD15"/>
  <w15:chartTrackingRefBased/>
  <w15:docId w15:val="{48717F50-D2D2-4DAD-A31D-2D68E9AC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429"/>
    <w:pPr>
      <w:spacing w:after="200" w:line="276" w:lineRule="auto"/>
    </w:pPr>
    <w:rPr>
      <w:rFonts w:ascii="Times New Roman" w:hAnsi="Times New Roman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44484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544484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544484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484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484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484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484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484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hAnsiTheme="minorHAnsi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484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444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544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544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444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4448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4448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444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444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444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44484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54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484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5444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4484"/>
    <w:pPr>
      <w:widowControl w:val="0"/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1"/>
      <w:lang w:eastAsia="zh-CN"/>
    </w:rPr>
  </w:style>
  <w:style w:type="character" w:customStyle="1" w:styleId="a8">
    <w:name w:val="引用 字符"/>
    <w:basedOn w:val="a0"/>
    <w:link w:val="a7"/>
    <w:uiPriority w:val="29"/>
    <w:rsid w:val="005444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4484"/>
    <w:pPr>
      <w:widowControl w:val="0"/>
      <w:spacing w:after="0" w:line="240" w:lineRule="auto"/>
      <w:ind w:left="720"/>
      <w:contextualSpacing/>
      <w:jc w:val="both"/>
    </w:pPr>
    <w:rPr>
      <w:rFonts w:asciiTheme="minorHAnsi" w:hAnsiTheme="minorHAnsi"/>
      <w:kern w:val="2"/>
      <w:sz w:val="21"/>
      <w:lang w:eastAsia="zh-CN"/>
    </w:rPr>
  </w:style>
  <w:style w:type="character" w:styleId="aa">
    <w:name w:val="Intense Emphasis"/>
    <w:basedOn w:val="a0"/>
    <w:uiPriority w:val="21"/>
    <w:qFormat/>
    <w:rsid w:val="005444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448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1"/>
      <w:lang w:eastAsia="zh-CN"/>
    </w:rPr>
  </w:style>
  <w:style w:type="character" w:customStyle="1" w:styleId="ac">
    <w:name w:val="明显引用 字符"/>
    <w:basedOn w:val="a0"/>
    <w:link w:val="ab"/>
    <w:uiPriority w:val="30"/>
    <w:rsid w:val="005444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448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8542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E854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8542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E85429"/>
    <w:rPr>
      <w:sz w:val="18"/>
      <w:szCs w:val="18"/>
    </w:rPr>
  </w:style>
  <w:style w:type="table" w:styleId="af2">
    <w:name w:val="Table Grid"/>
    <w:basedOn w:val="a1"/>
    <w:uiPriority w:val="59"/>
    <w:rsid w:val="00E85429"/>
    <w:rPr>
      <w:rFonts w:eastAsia="Times New Roman"/>
      <w:kern w:val="0"/>
      <w:sz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semiHidden/>
    <w:unhideWhenUsed/>
    <w:rsid w:val="003D0EC2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styleId="af4">
    <w:name w:val="Strong"/>
    <w:basedOn w:val="a0"/>
    <w:uiPriority w:val="22"/>
    <w:qFormat/>
    <w:rsid w:val="003D0EC2"/>
    <w:rPr>
      <w:b/>
      <w:bCs/>
    </w:rPr>
  </w:style>
  <w:style w:type="character" w:styleId="af5">
    <w:name w:val="Emphasis"/>
    <w:basedOn w:val="a0"/>
    <w:uiPriority w:val="20"/>
    <w:qFormat/>
    <w:rsid w:val="00FD55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1241</Words>
  <Characters>7076</Characters>
  <Application>Microsoft Office Word</Application>
  <DocSecurity>0</DocSecurity>
  <Lines>58</Lines>
  <Paragraphs>16</Paragraphs>
  <ScaleCrop>false</ScaleCrop>
  <Company/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豆豆 金</dc:creator>
  <cp:keywords/>
  <dc:description/>
  <cp:lastModifiedBy>豆豆 金</cp:lastModifiedBy>
  <cp:revision>8</cp:revision>
  <dcterms:created xsi:type="dcterms:W3CDTF">2026-02-06T06:19:00Z</dcterms:created>
  <dcterms:modified xsi:type="dcterms:W3CDTF">2026-02-10T16:54:00Z</dcterms:modified>
</cp:coreProperties>
</file>