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C81FF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480" w:lineRule="auto"/>
        <w:jc w:val="center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Arial" w:cs="Times New Roman"/>
          <w:b/>
          <w:sz w:val="24"/>
        </w:rPr>
        <w:t>Supplementary Table S4. Domain-Level Risk-of-Bias Judgments</w:t>
      </w:r>
    </w:p>
    <w:p w14:paraId="05207EF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480" w:lineRule="auto"/>
        <w:jc w:val="both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Section A. RoB 2 judgments for randomized studies included in the quantitative synthesis</w:t>
      </w:r>
    </w:p>
    <w:tbl>
      <w:tblPr>
        <w:tblStyle w:val="3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0"/>
        <w:gridCol w:w="1226"/>
        <w:gridCol w:w="954"/>
        <w:gridCol w:w="1265"/>
        <w:gridCol w:w="1042"/>
        <w:gridCol w:w="954"/>
        <w:gridCol w:w="1417"/>
        <w:gridCol w:w="1130"/>
        <w:gridCol w:w="5670"/>
      </w:tblGrid>
      <w:tr w14:paraId="768FFC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shd w:val="clear" w:color="auto" w:fill="D9EAF7"/>
          </w:tcPr>
          <w:p w14:paraId="46C6FE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/>
                <w:sz w:val="16"/>
              </w:rPr>
              <w:t>Group</w:t>
            </w:r>
          </w:p>
        </w:tc>
        <w:tc>
          <w:tcPr>
            <w:tcW w:w="0" w:type="auto"/>
            <w:shd w:val="clear" w:color="auto" w:fill="D9EAF7"/>
          </w:tcPr>
          <w:p w14:paraId="2A2C97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/>
                <w:sz w:val="16"/>
              </w:rPr>
              <w:t>Study</w:t>
            </w:r>
          </w:p>
        </w:tc>
        <w:tc>
          <w:tcPr>
            <w:tcW w:w="0" w:type="auto"/>
            <w:shd w:val="clear" w:color="auto" w:fill="D9EAF7"/>
          </w:tcPr>
          <w:p w14:paraId="048B0F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/>
                <w:sz w:val="16"/>
              </w:rPr>
              <w:t>Overall</w:t>
            </w:r>
          </w:p>
        </w:tc>
        <w:tc>
          <w:tcPr>
            <w:tcW w:w="0" w:type="auto"/>
            <w:shd w:val="clear" w:color="auto" w:fill="D9EAF7"/>
          </w:tcPr>
          <w:p w14:paraId="0D5F2B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/>
                <w:sz w:val="16"/>
              </w:rPr>
              <w:t>Randomization</w:t>
            </w:r>
          </w:p>
        </w:tc>
        <w:tc>
          <w:tcPr>
            <w:tcW w:w="0" w:type="auto"/>
            <w:shd w:val="clear" w:color="auto" w:fill="D9EAF7"/>
          </w:tcPr>
          <w:p w14:paraId="0C4E03C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/>
                <w:sz w:val="16"/>
              </w:rPr>
              <w:t>Deviations</w:t>
            </w:r>
          </w:p>
        </w:tc>
        <w:tc>
          <w:tcPr>
            <w:tcW w:w="0" w:type="auto"/>
            <w:shd w:val="clear" w:color="auto" w:fill="D9EAF7"/>
          </w:tcPr>
          <w:p w14:paraId="360A11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/>
                <w:sz w:val="16"/>
              </w:rPr>
              <w:t>Missing data</w:t>
            </w:r>
          </w:p>
        </w:tc>
        <w:tc>
          <w:tcPr>
            <w:tcW w:w="0" w:type="auto"/>
            <w:shd w:val="clear" w:color="auto" w:fill="D9EAF7"/>
          </w:tcPr>
          <w:p w14:paraId="38582F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/>
                <w:sz w:val="16"/>
              </w:rPr>
              <w:t>Outcome measurement</w:t>
            </w:r>
          </w:p>
        </w:tc>
        <w:tc>
          <w:tcPr>
            <w:tcW w:w="0" w:type="auto"/>
            <w:shd w:val="clear" w:color="auto" w:fill="D9EAF7"/>
          </w:tcPr>
          <w:p w14:paraId="53AA12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/>
                <w:sz w:val="16"/>
              </w:rPr>
              <w:t>Selective reporting</w:t>
            </w:r>
          </w:p>
        </w:tc>
        <w:tc>
          <w:tcPr>
            <w:tcW w:w="0" w:type="auto"/>
            <w:shd w:val="clear" w:color="auto" w:fill="D9EAF7"/>
          </w:tcPr>
          <w:p w14:paraId="0B8A5B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/>
                <w:sz w:val="16"/>
              </w:rPr>
              <w:t>Rationale note</w:t>
            </w:r>
          </w:p>
        </w:tc>
      </w:tr>
      <w:tr w14:paraId="595449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7E91E5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sz w:val="16"/>
              </w:rPr>
              <w:t>A</w:t>
            </w:r>
          </w:p>
        </w:tc>
        <w:tc>
          <w:tcPr>
            <w:tcW w:w="0" w:type="auto"/>
          </w:tcPr>
          <w:p w14:paraId="2C63BA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sz w:val="16"/>
              </w:rPr>
              <w:t>A. Chen 2024</w:t>
            </w:r>
          </w:p>
        </w:tc>
        <w:tc>
          <w:tcPr>
            <w:tcW w:w="0" w:type="auto"/>
          </w:tcPr>
          <w:p w14:paraId="64AA3C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sz w:val="16"/>
              </w:rPr>
              <w:t>Some concerns</w:t>
            </w:r>
          </w:p>
        </w:tc>
        <w:tc>
          <w:tcPr>
            <w:tcW w:w="0" w:type="auto"/>
          </w:tcPr>
          <w:p w14:paraId="1EC203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sz w:val="16"/>
              </w:rPr>
              <w:t>Low</w:t>
            </w:r>
          </w:p>
        </w:tc>
        <w:tc>
          <w:tcPr>
            <w:tcW w:w="0" w:type="auto"/>
          </w:tcPr>
          <w:p w14:paraId="5D3521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sz w:val="16"/>
              </w:rPr>
              <w:t>Some concerns</w:t>
            </w:r>
          </w:p>
        </w:tc>
        <w:tc>
          <w:tcPr>
            <w:tcW w:w="0" w:type="auto"/>
          </w:tcPr>
          <w:p w14:paraId="4D630C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sz w:val="16"/>
              </w:rPr>
              <w:t xml:space="preserve">Some </w:t>
            </w:r>
            <w:bookmarkStart w:id="0" w:name="_GoBack"/>
            <w:bookmarkEnd w:id="0"/>
            <w:r>
              <w:rPr>
                <w:rFonts w:hint="default" w:ascii="Times New Roman" w:hAnsi="Times New Roman" w:eastAsia="Arial" w:cs="Times New Roman"/>
                <w:sz w:val="16"/>
              </w:rPr>
              <w:t>concerns</w:t>
            </w:r>
          </w:p>
        </w:tc>
        <w:tc>
          <w:tcPr>
            <w:tcW w:w="0" w:type="auto"/>
          </w:tcPr>
          <w:p w14:paraId="153315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sz w:val="16"/>
              </w:rPr>
              <w:t>Some concerns</w:t>
            </w:r>
          </w:p>
        </w:tc>
        <w:tc>
          <w:tcPr>
            <w:tcW w:w="0" w:type="auto"/>
          </w:tcPr>
          <w:p w14:paraId="44775F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sz w:val="16"/>
              </w:rPr>
              <w:t>Some concerns</w:t>
            </w:r>
          </w:p>
        </w:tc>
        <w:tc>
          <w:tcPr>
            <w:tcW w:w="0" w:type="auto"/>
          </w:tcPr>
          <w:p w14:paraId="6C608F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sz w:val="16"/>
              </w:rPr>
              <w:t>Sequence generation and allocation concealment were described, but participants and treating clinicians were not blinded and handling of incomplete outcome data was not fully detailed.</w:t>
            </w:r>
          </w:p>
        </w:tc>
      </w:tr>
      <w:tr w14:paraId="3EE344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3118DB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sz w:val="16"/>
              </w:rPr>
              <w:t>C</w:t>
            </w:r>
          </w:p>
        </w:tc>
        <w:tc>
          <w:tcPr>
            <w:tcW w:w="0" w:type="auto"/>
          </w:tcPr>
          <w:p w14:paraId="6D0C75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sz w:val="16"/>
              </w:rPr>
              <w:t>C. Li 2024</w:t>
            </w:r>
          </w:p>
        </w:tc>
        <w:tc>
          <w:tcPr>
            <w:tcW w:w="0" w:type="auto"/>
          </w:tcPr>
          <w:p w14:paraId="65E3A6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sz w:val="16"/>
              </w:rPr>
              <w:t>Some concerns</w:t>
            </w:r>
          </w:p>
        </w:tc>
        <w:tc>
          <w:tcPr>
            <w:tcW w:w="0" w:type="auto"/>
          </w:tcPr>
          <w:p w14:paraId="75CE90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sz w:val="16"/>
              </w:rPr>
              <w:t>Some concerns</w:t>
            </w:r>
          </w:p>
        </w:tc>
        <w:tc>
          <w:tcPr>
            <w:tcW w:w="0" w:type="auto"/>
          </w:tcPr>
          <w:p w14:paraId="3F4D1C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sz w:val="16"/>
              </w:rPr>
              <w:t>Some concerns</w:t>
            </w:r>
          </w:p>
        </w:tc>
        <w:tc>
          <w:tcPr>
            <w:tcW w:w="0" w:type="auto"/>
          </w:tcPr>
          <w:p w14:paraId="7265AB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sz w:val="16"/>
              </w:rPr>
              <w:t>Low</w:t>
            </w:r>
          </w:p>
        </w:tc>
        <w:tc>
          <w:tcPr>
            <w:tcW w:w="0" w:type="auto"/>
          </w:tcPr>
          <w:p w14:paraId="7D0C88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sz w:val="16"/>
              </w:rPr>
              <w:t>Some concerns</w:t>
            </w:r>
          </w:p>
        </w:tc>
        <w:tc>
          <w:tcPr>
            <w:tcW w:w="0" w:type="auto"/>
          </w:tcPr>
          <w:p w14:paraId="0DAED1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sz w:val="16"/>
              </w:rPr>
              <w:t>Some concerns</w:t>
            </w:r>
          </w:p>
        </w:tc>
        <w:tc>
          <w:tcPr>
            <w:tcW w:w="0" w:type="auto"/>
          </w:tcPr>
          <w:p w14:paraId="5F3F91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sz w:val="16"/>
              </w:rPr>
              <w:t>Randomized allocation was reported, but concealment and blinding were incompletely described; this was also a three-arm study.</w:t>
            </w:r>
          </w:p>
        </w:tc>
      </w:tr>
      <w:tr w14:paraId="4F942C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120E20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sz w:val="16"/>
              </w:rPr>
              <w:t>C</w:t>
            </w:r>
          </w:p>
        </w:tc>
        <w:tc>
          <w:tcPr>
            <w:tcW w:w="0" w:type="auto"/>
          </w:tcPr>
          <w:p w14:paraId="12C8FE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sz w:val="16"/>
              </w:rPr>
              <w:t>C. Liang Qiguo 2025 (VSD)</w:t>
            </w:r>
          </w:p>
        </w:tc>
        <w:tc>
          <w:tcPr>
            <w:tcW w:w="0" w:type="auto"/>
          </w:tcPr>
          <w:p w14:paraId="375C5A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sz w:val="16"/>
              </w:rPr>
              <w:t>Some concerns</w:t>
            </w:r>
          </w:p>
        </w:tc>
        <w:tc>
          <w:tcPr>
            <w:tcW w:w="0" w:type="auto"/>
          </w:tcPr>
          <w:p w14:paraId="515858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sz w:val="16"/>
              </w:rPr>
              <w:t>Some concerns</w:t>
            </w:r>
          </w:p>
        </w:tc>
        <w:tc>
          <w:tcPr>
            <w:tcW w:w="0" w:type="auto"/>
          </w:tcPr>
          <w:p w14:paraId="7856CA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sz w:val="16"/>
              </w:rPr>
              <w:t>Some concerns</w:t>
            </w:r>
          </w:p>
        </w:tc>
        <w:tc>
          <w:tcPr>
            <w:tcW w:w="0" w:type="auto"/>
          </w:tcPr>
          <w:p w14:paraId="40AE52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sz w:val="16"/>
              </w:rPr>
              <w:t>Low</w:t>
            </w:r>
          </w:p>
        </w:tc>
        <w:tc>
          <w:tcPr>
            <w:tcW w:w="0" w:type="auto"/>
          </w:tcPr>
          <w:p w14:paraId="0290C7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sz w:val="16"/>
              </w:rPr>
              <w:t>Some concerns</w:t>
            </w:r>
          </w:p>
        </w:tc>
        <w:tc>
          <w:tcPr>
            <w:tcW w:w="0" w:type="auto"/>
          </w:tcPr>
          <w:p w14:paraId="791DE7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sz w:val="16"/>
              </w:rPr>
              <w:t>Some concerns</w:t>
            </w:r>
          </w:p>
        </w:tc>
        <w:tc>
          <w:tcPr>
            <w:tcW w:w="0" w:type="auto"/>
          </w:tcPr>
          <w:p w14:paraId="032580C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sz w:val="16"/>
              </w:rPr>
              <w:t>Randomized design was reported, but concealment and blinding details were limited.</w:t>
            </w:r>
          </w:p>
        </w:tc>
      </w:tr>
      <w:tr w14:paraId="1278A9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20557F1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sz w:val="16"/>
              </w:rPr>
              <w:t>C</w:t>
            </w:r>
          </w:p>
        </w:tc>
        <w:tc>
          <w:tcPr>
            <w:tcW w:w="0" w:type="auto"/>
          </w:tcPr>
          <w:p w14:paraId="397BBA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sz w:val="16"/>
              </w:rPr>
              <w:t>C. Sang 2025</w:t>
            </w:r>
          </w:p>
        </w:tc>
        <w:tc>
          <w:tcPr>
            <w:tcW w:w="0" w:type="auto"/>
          </w:tcPr>
          <w:p w14:paraId="2CE356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sz w:val="16"/>
              </w:rPr>
              <w:t>Some concerns</w:t>
            </w:r>
          </w:p>
        </w:tc>
        <w:tc>
          <w:tcPr>
            <w:tcW w:w="0" w:type="auto"/>
          </w:tcPr>
          <w:p w14:paraId="29EA44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sz w:val="16"/>
              </w:rPr>
              <w:t>Some concerns</w:t>
            </w:r>
          </w:p>
        </w:tc>
        <w:tc>
          <w:tcPr>
            <w:tcW w:w="0" w:type="auto"/>
          </w:tcPr>
          <w:p w14:paraId="2DFF37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sz w:val="16"/>
              </w:rPr>
              <w:t>Some concerns</w:t>
            </w:r>
          </w:p>
        </w:tc>
        <w:tc>
          <w:tcPr>
            <w:tcW w:w="0" w:type="auto"/>
          </w:tcPr>
          <w:p w14:paraId="55222F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sz w:val="16"/>
              </w:rPr>
              <w:t>Low</w:t>
            </w:r>
          </w:p>
        </w:tc>
        <w:tc>
          <w:tcPr>
            <w:tcW w:w="0" w:type="auto"/>
          </w:tcPr>
          <w:p w14:paraId="3171CF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sz w:val="16"/>
              </w:rPr>
              <w:t>Some concerns</w:t>
            </w:r>
          </w:p>
        </w:tc>
        <w:tc>
          <w:tcPr>
            <w:tcW w:w="0" w:type="auto"/>
          </w:tcPr>
          <w:p w14:paraId="5D43B7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sz w:val="16"/>
              </w:rPr>
              <w:t>Some concerns</w:t>
            </w:r>
          </w:p>
        </w:tc>
        <w:tc>
          <w:tcPr>
            <w:tcW w:w="0" w:type="auto"/>
          </w:tcPr>
          <w:p w14:paraId="5F21AB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sz w:val="16"/>
              </w:rPr>
              <w:t>Random-number allocation was reported, but the study remained effectively open label for subjective outcomes.</w:t>
            </w:r>
          </w:p>
        </w:tc>
      </w:tr>
      <w:tr w14:paraId="11BACF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0CC91B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sz w:val="16"/>
              </w:rPr>
              <w:t>C</w:t>
            </w:r>
          </w:p>
        </w:tc>
        <w:tc>
          <w:tcPr>
            <w:tcW w:w="0" w:type="auto"/>
          </w:tcPr>
          <w:p w14:paraId="0FCB94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sz w:val="16"/>
              </w:rPr>
              <w:t>C. Su 2024</w:t>
            </w:r>
          </w:p>
        </w:tc>
        <w:tc>
          <w:tcPr>
            <w:tcW w:w="0" w:type="auto"/>
          </w:tcPr>
          <w:p w14:paraId="2F55CD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sz w:val="16"/>
              </w:rPr>
              <w:t>Some concerns</w:t>
            </w:r>
          </w:p>
        </w:tc>
        <w:tc>
          <w:tcPr>
            <w:tcW w:w="0" w:type="auto"/>
          </w:tcPr>
          <w:p w14:paraId="7A1974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sz w:val="16"/>
              </w:rPr>
              <w:t>Some concerns</w:t>
            </w:r>
          </w:p>
        </w:tc>
        <w:tc>
          <w:tcPr>
            <w:tcW w:w="0" w:type="auto"/>
          </w:tcPr>
          <w:p w14:paraId="79B39A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sz w:val="16"/>
              </w:rPr>
              <w:t>Some concerns</w:t>
            </w:r>
          </w:p>
        </w:tc>
        <w:tc>
          <w:tcPr>
            <w:tcW w:w="0" w:type="auto"/>
          </w:tcPr>
          <w:p w14:paraId="5EDD80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sz w:val="16"/>
              </w:rPr>
              <w:t>Low</w:t>
            </w:r>
          </w:p>
        </w:tc>
        <w:tc>
          <w:tcPr>
            <w:tcW w:w="0" w:type="auto"/>
          </w:tcPr>
          <w:p w14:paraId="5B347A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sz w:val="16"/>
              </w:rPr>
              <w:t>Some concerns</w:t>
            </w:r>
          </w:p>
        </w:tc>
        <w:tc>
          <w:tcPr>
            <w:tcW w:w="0" w:type="auto"/>
          </w:tcPr>
          <w:p w14:paraId="54FEFE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sz w:val="16"/>
              </w:rPr>
              <w:t>Some concerns</w:t>
            </w:r>
          </w:p>
        </w:tc>
        <w:tc>
          <w:tcPr>
            <w:tcW w:w="0" w:type="auto"/>
          </w:tcPr>
          <w:p w14:paraId="7F7F34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sz w:val="16"/>
              </w:rPr>
              <w:t>Randomized allocation was reported, but reporting of concealment and blinding was limited and the sample size was small.</w:t>
            </w:r>
          </w:p>
        </w:tc>
      </w:tr>
      <w:tr w14:paraId="11C0B4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50DA8E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sz w:val="16"/>
              </w:rPr>
              <w:t>C</w:t>
            </w:r>
          </w:p>
        </w:tc>
        <w:tc>
          <w:tcPr>
            <w:tcW w:w="0" w:type="auto"/>
          </w:tcPr>
          <w:p w14:paraId="71A462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sz w:val="16"/>
              </w:rPr>
              <w:t>C. Zheng 2024</w:t>
            </w:r>
          </w:p>
        </w:tc>
        <w:tc>
          <w:tcPr>
            <w:tcW w:w="0" w:type="auto"/>
          </w:tcPr>
          <w:p w14:paraId="50B5901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sz w:val="16"/>
              </w:rPr>
              <w:t>Some concerns</w:t>
            </w:r>
          </w:p>
        </w:tc>
        <w:tc>
          <w:tcPr>
            <w:tcW w:w="0" w:type="auto"/>
          </w:tcPr>
          <w:p w14:paraId="4BC0482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sz w:val="16"/>
              </w:rPr>
              <w:t>Some concerns</w:t>
            </w:r>
          </w:p>
        </w:tc>
        <w:tc>
          <w:tcPr>
            <w:tcW w:w="0" w:type="auto"/>
          </w:tcPr>
          <w:p w14:paraId="47922B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sz w:val="16"/>
              </w:rPr>
              <w:t>Some concerns</w:t>
            </w:r>
          </w:p>
        </w:tc>
        <w:tc>
          <w:tcPr>
            <w:tcW w:w="0" w:type="auto"/>
          </w:tcPr>
          <w:p w14:paraId="4367E2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sz w:val="16"/>
              </w:rPr>
              <w:t>Low</w:t>
            </w:r>
          </w:p>
        </w:tc>
        <w:tc>
          <w:tcPr>
            <w:tcW w:w="0" w:type="auto"/>
          </w:tcPr>
          <w:p w14:paraId="14B7E5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sz w:val="16"/>
              </w:rPr>
              <w:t>Some concerns</w:t>
            </w:r>
          </w:p>
        </w:tc>
        <w:tc>
          <w:tcPr>
            <w:tcW w:w="0" w:type="auto"/>
          </w:tcPr>
          <w:p w14:paraId="3AC4C1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sz w:val="16"/>
              </w:rPr>
              <w:t>Some concerns</w:t>
            </w:r>
          </w:p>
        </w:tc>
        <w:tc>
          <w:tcPr>
            <w:tcW w:w="0" w:type="auto"/>
          </w:tcPr>
          <w:p w14:paraId="49C50C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sz w:val="16"/>
              </w:rPr>
              <w:t>Randomized design was reported, but allocation concealment and blinding procedures were not fully detailed.</w:t>
            </w:r>
          </w:p>
        </w:tc>
      </w:tr>
    </w:tbl>
    <w:p w14:paraId="5651319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480" w:lineRule="auto"/>
        <w:jc w:val="both"/>
        <w:textAlignment w:val="auto"/>
        <w:rPr>
          <w:rFonts w:hint="default" w:ascii="Times New Roman" w:hAnsi="Times New Roman" w:cs="Times New Roman"/>
        </w:rPr>
      </w:pPr>
    </w:p>
    <w:p w14:paraId="4009D86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480" w:lineRule="auto"/>
        <w:jc w:val="both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Section B. ROBINS-I judgments for non-randomized comparative studies included in the quantitative synthesis</w:t>
      </w:r>
    </w:p>
    <w:tbl>
      <w:tblPr>
        <w:tblStyle w:val="3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0"/>
        <w:gridCol w:w="1070"/>
        <w:gridCol w:w="732"/>
        <w:gridCol w:w="1115"/>
        <w:gridCol w:w="830"/>
        <w:gridCol w:w="1141"/>
        <w:gridCol w:w="936"/>
        <w:gridCol w:w="939"/>
        <w:gridCol w:w="1416"/>
        <w:gridCol w:w="1128"/>
        <w:gridCol w:w="4351"/>
      </w:tblGrid>
      <w:tr w14:paraId="7489CA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shd w:val="clear" w:color="auto" w:fill="D9EAF7"/>
          </w:tcPr>
          <w:p w14:paraId="540302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auto"/>
              <w:jc w:val="both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/>
                <w:sz w:val="16"/>
              </w:rPr>
              <w:t>Group</w:t>
            </w:r>
          </w:p>
        </w:tc>
        <w:tc>
          <w:tcPr>
            <w:tcW w:w="0" w:type="auto"/>
            <w:shd w:val="clear" w:color="auto" w:fill="D9EAF7"/>
          </w:tcPr>
          <w:p w14:paraId="0818E9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/>
                <w:sz w:val="16"/>
              </w:rPr>
              <w:t>Study</w:t>
            </w:r>
          </w:p>
        </w:tc>
        <w:tc>
          <w:tcPr>
            <w:tcW w:w="0" w:type="auto"/>
            <w:shd w:val="clear" w:color="auto" w:fill="D9EAF7"/>
          </w:tcPr>
          <w:p w14:paraId="0AB985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/>
                <w:sz w:val="16"/>
              </w:rPr>
              <w:t>Overall</w:t>
            </w:r>
          </w:p>
        </w:tc>
        <w:tc>
          <w:tcPr>
            <w:tcW w:w="0" w:type="auto"/>
            <w:shd w:val="clear" w:color="auto" w:fill="D9EAF7"/>
          </w:tcPr>
          <w:p w14:paraId="1FB117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/>
                <w:sz w:val="16"/>
              </w:rPr>
              <w:t>Confounding</w:t>
            </w:r>
          </w:p>
        </w:tc>
        <w:tc>
          <w:tcPr>
            <w:tcW w:w="0" w:type="auto"/>
            <w:shd w:val="clear" w:color="auto" w:fill="D9EAF7"/>
          </w:tcPr>
          <w:p w14:paraId="740328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/>
                <w:sz w:val="16"/>
              </w:rPr>
              <w:t>Selection</w:t>
            </w:r>
          </w:p>
        </w:tc>
        <w:tc>
          <w:tcPr>
            <w:tcW w:w="0" w:type="auto"/>
            <w:shd w:val="clear" w:color="auto" w:fill="D9EAF7"/>
          </w:tcPr>
          <w:p w14:paraId="346E47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/>
                <w:sz w:val="16"/>
              </w:rPr>
              <w:t>Classification</w:t>
            </w:r>
          </w:p>
        </w:tc>
        <w:tc>
          <w:tcPr>
            <w:tcW w:w="0" w:type="auto"/>
            <w:shd w:val="clear" w:color="auto" w:fill="D9EAF7"/>
          </w:tcPr>
          <w:p w14:paraId="6EB59F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/>
                <w:sz w:val="16"/>
              </w:rPr>
              <w:t>Deviations</w:t>
            </w:r>
          </w:p>
        </w:tc>
        <w:tc>
          <w:tcPr>
            <w:tcW w:w="0" w:type="auto"/>
            <w:shd w:val="clear" w:color="auto" w:fill="D9EAF7"/>
          </w:tcPr>
          <w:p w14:paraId="6D64AF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/>
                <w:sz w:val="16"/>
              </w:rPr>
              <w:t>Missing data</w:t>
            </w:r>
          </w:p>
        </w:tc>
        <w:tc>
          <w:tcPr>
            <w:tcW w:w="0" w:type="auto"/>
            <w:shd w:val="clear" w:color="auto" w:fill="D9EAF7"/>
          </w:tcPr>
          <w:p w14:paraId="09472D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/>
                <w:sz w:val="16"/>
              </w:rPr>
              <w:t>Outcome measurement</w:t>
            </w:r>
          </w:p>
        </w:tc>
        <w:tc>
          <w:tcPr>
            <w:tcW w:w="0" w:type="auto"/>
            <w:shd w:val="clear" w:color="auto" w:fill="D9EAF7"/>
          </w:tcPr>
          <w:p w14:paraId="732483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/>
                <w:sz w:val="16"/>
              </w:rPr>
              <w:t>Selective reporting</w:t>
            </w:r>
          </w:p>
        </w:tc>
        <w:tc>
          <w:tcPr>
            <w:tcW w:w="0" w:type="auto"/>
            <w:shd w:val="clear" w:color="auto" w:fill="D9EAF7"/>
          </w:tcPr>
          <w:p w14:paraId="405419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/>
                <w:sz w:val="16"/>
              </w:rPr>
              <w:t>Rationale note</w:t>
            </w:r>
          </w:p>
        </w:tc>
      </w:tr>
      <w:tr w14:paraId="6332C0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19B865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auto"/>
              <w:jc w:val="both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sz w:val="16"/>
              </w:rPr>
              <w:t>A</w:t>
            </w:r>
          </w:p>
        </w:tc>
        <w:tc>
          <w:tcPr>
            <w:tcW w:w="0" w:type="auto"/>
          </w:tcPr>
          <w:p w14:paraId="7B42E9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sz w:val="16"/>
              </w:rPr>
              <w:t>A. Liang Qiguo 2024</w:t>
            </w:r>
          </w:p>
        </w:tc>
        <w:tc>
          <w:tcPr>
            <w:tcW w:w="0" w:type="auto"/>
          </w:tcPr>
          <w:p w14:paraId="062DB91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sz w:val="16"/>
              </w:rPr>
              <w:t>Serious</w:t>
            </w:r>
          </w:p>
        </w:tc>
        <w:tc>
          <w:tcPr>
            <w:tcW w:w="0" w:type="auto"/>
          </w:tcPr>
          <w:p w14:paraId="412829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sz w:val="16"/>
              </w:rPr>
              <w:t>Serious</w:t>
            </w:r>
          </w:p>
        </w:tc>
        <w:tc>
          <w:tcPr>
            <w:tcW w:w="0" w:type="auto"/>
          </w:tcPr>
          <w:p w14:paraId="4DAB0A1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sz w:val="16"/>
              </w:rPr>
              <w:t>Moderate</w:t>
            </w:r>
          </w:p>
        </w:tc>
        <w:tc>
          <w:tcPr>
            <w:tcW w:w="0" w:type="auto"/>
          </w:tcPr>
          <w:p w14:paraId="126694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sz w:val="16"/>
              </w:rPr>
              <w:t>Low</w:t>
            </w:r>
          </w:p>
        </w:tc>
        <w:tc>
          <w:tcPr>
            <w:tcW w:w="0" w:type="auto"/>
          </w:tcPr>
          <w:p w14:paraId="3AE730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sz w:val="16"/>
              </w:rPr>
              <w:t>Moderate</w:t>
            </w:r>
          </w:p>
        </w:tc>
        <w:tc>
          <w:tcPr>
            <w:tcW w:w="0" w:type="auto"/>
          </w:tcPr>
          <w:p w14:paraId="695C9A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sz w:val="16"/>
              </w:rPr>
              <w:t>Moderate</w:t>
            </w:r>
          </w:p>
        </w:tc>
        <w:tc>
          <w:tcPr>
            <w:tcW w:w="0" w:type="auto"/>
          </w:tcPr>
          <w:p w14:paraId="26877A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sz w:val="16"/>
              </w:rPr>
              <w:t>Moderate</w:t>
            </w:r>
          </w:p>
        </w:tc>
        <w:tc>
          <w:tcPr>
            <w:tcW w:w="0" w:type="auto"/>
          </w:tcPr>
          <w:p w14:paraId="217BA9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sz w:val="16"/>
              </w:rPr>
              <w:t>Moderate</w:t>
            </w:r>
          </w:p>
        </w:tc>
        <w:tc>
          <w:tcPr>
            <w:tcW w:w="0" w:type="auto"/>
          </w:tcPr>
          <w:p w14:paraId="3B1B77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sz w:val="16"/>
              </w:rPr>
              <w:t>Allocation followed treatment received rather than randomization, with likely confounding and limited control of baseline differences.</w:t>
            </w:r>
          </w:p>
        </w:tc>
      </w:tr>
      <w:tr w14:paraId="5AE809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516AD5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auto"/>
              <w:jc w:val="both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sz w:val="16"/>
              </w:rPr>
              <w:t>A</w:t>
            </w:r>
          </w:p>
        </w:tc>
        <w:tc>
          <w:tcPr>
            <w:tcW w:w="0" w:type="auto"/>
          </w:tcPr>
          <w:p w14:paraId="147F6A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sz w:val="16"/>
              </w:rPr>
              <w:t>A. Tan 2024</w:t>
            </w:r>
          </w:p>
        </w:tc>
        <w:tc>
          <w:tcPr>
            <w:tcW w:w="0" w:type="auto"/>
          </w:tcPr>
          <w:p w14:paraId="54E919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sz w:val="16"/>
              </w:rPr>
              <w:t>Serious</w:t>
            </w:r>
          </w:p>
        </w:tc>
        <w:tc>
          <w:tcPr>
            <w:tcW w:w="0" w:type="auto"/>
          </w:tcPr>
          <w:p w14:paraId="18E627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sz w:val="16"/>
              </w:rPr>
              <w:t>Serious</w:t>
            </w:r>
          </w:p>
        </w:tc>
        <w:tc>
          <w:tcPr>
            <w:tcW w:w="0" w:type="auto"/>
          </w:tcPr>
          <w:p w14:paraId="7EAC81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sz w:val="16"/>
              </w:rPr>
              <w:t>Moderate</w:t>
            </w:r>
          </w:p>
        </w:tc>
        <w:tc>
          <w:tcPr>
            <w:tcW w:w="0" w:type="auto"/>
          </w:tcPr>
          <w:p w14:paraId="08FD7D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sz w:val="16"/>
              </w:rPr>
              <w:t>Low</w:t>
            </w:r>
          </w:p>
        </w:tc>
        <w:tc>
          <w:tcPr>
            <w:tcW w:w="0" w:type="auto"/>
          </w:tcPr>
          <w:p w14:paraId="21EF42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sz w:val="16"/>
              </w:rPr>
              <w:t>Moderate</w:t>
            </w:r>
          </w:p>
        </w:tc>
        <w:tc>
          <w:tcPr>
            <w:tcW w:w="0" w:type="auto"/>
          </w:tcPr>
          <w:p w14:paraId="204864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sz w:val="16"/>
              </w:rPr>
              <w:t>Moderate</w:t>
            </w:r>
          </w:p>
        </w:tc>
        <w:tc>
          <w:tcPr>
            <w:tcW w:w="0" w:type="auto"/>
          </w:tcPr>
          <w:p w14:paraId="2AD94E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sz w:val="16"/>
              </w:rPr>
              <w:t>Moderate</w:t>
            </w:r>
          </w:p>
        </w:tc>
        <w:tc>
          <w:tcPr>
            <w:tcW w:w="0" w:type="auto"/>
          </w:tcPr>
          <w:p w14:paraId="1863E6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sz w:val="16"/>
              </w:rPr>
              <w:t>Serious</w:t>
            </w:r>
          </w:p>
        </w:tc>
        <w:tc>
          <w:tcPr>
            <w:tcW w:w="0" w:type="auto"/>
          </w:tcPr>
          <w:p w14:paraId="3167C9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sz w:val="16"/>
              </w:rPr>
              <w:t>Non-random allocation and limited reporting raised concern for confounding and possible selective outcome reporting.</w:t>
            </w:r>
          </w:p>
        </w:tc>
      </w:tr>
      <w:tr w14:paraId="71C530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59B846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auto"/>
              <w:jc w:val="both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sz w:val="16"/>
              </w:rPr>
              <w:t>B</w:t>
            </w:r>
          </w:p>
        </w:tc>
        <w:tc>
          <w:tcPr>
            <w:tcW w:w="0" w:type="auto"/>
          </w:tcPr>
          <w:p w14:paraId="1149F5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sz w:val="16"/>
              </w:rPr>
              <w:t>B. Jiang 2025</w:t>
            </w:r>
          </w:p>
        </w:tc>
        <w:tc>
          <w:tcPr>
            <w:tcW w:w="0" w:type="auto"/>
          </w:tcPr>
          <w:p w14:paraId="6F17CF0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sz w:val="16"/>
              </w:rPr>
              <w:t>Serious</w:t>
            </w:r>
          </w:p>
        </w:tc>
        <w:tc>
          <w:tcPr>
            <w:tcW w:w="0" w:type="auto"/>
          </w:tcPr>
          <w:p w14:paraId="07B2D9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sz w:val="16"/>
              </w:rPr>
              <w:t>Serious</w:t>
            </w:r>
          </w:p>
        </w:tc>
        <w:tc>
          <w:tcPr>
            <w:tcW w:w="0" w:type="auto"/>
          </w:tcPr>
          <w:p w14:paraId="2397672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sz w:val="16"/>
              </w:rPr>
              <w:t>Moderate</w:t>
            </w:r>
          </w:p>
        </w:tc>
        <w:tc>
          <w:tcPr>
            <w:tcW w:w="0" w:type="auto"/>
          </w:tcPr>
          <w:p w14:paraId="55E01B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sz w:val="16"/>
              </w:rPr>
              <w:t>Low</w:t>
            </w:r>
          </w:p>
        </w:tc>
        <w:tc>
          <w:tcPr>
            <w:tcW w:w="0" w:type="auto"/>
          </w:tcPr>
          <w:p w14:paraId="326BD6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sz w:val="16"/>
              </w:rPr>
              <w:t>Moderate</w:t>
            </w:r>
          </w:p>
        </w:tc>
        <w:tc>
          <w:tcPr>
            <w:tcW w:w="0" w:type="auto"/>
          </w:tcPr>
          <w:p w14:paraId="326F99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sz w:val="16"/>
              </w:rPr>
              <w:t>Moderate</w:t>
            </w:r>
          </w:p>
        </w:tc>
        <w:tc>
          <w:tcPr>
            <w:tcW w:w="0" w:type="auto"/>
          </w:tcPr>
          <w:p w14:paraId="62B127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sz w:val="16"/>
              </w:rPr>
              <w:t>Serious</w:t>
            </w:r>
          </w:p>
        </w:tc>
        <w:tc>
          <w:tcPr>
            <w:tcW w:w="0" w:type="auto"/>
          </w:tcPr>
          <w:p w14:paraId="247D06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sz w:val="16"/>
              </w:rPr>
              <w:t>Moderate</w:t>
            </w:r>
          </w:p>
        </w:tc>
        <w:tc>
          <w:tcPr>
            <w:tcW w:w="0" w:type="auto"/>
          </w:tcPr>
          <w:p w14:paraId="7A6A7B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sz w:val="16"/>
              </w:rPr>
              <w:t>Procedure-based allocation and subjective endpoints increased concern for confounding and measurement bias.</w:t>
            </w:r>
          </w:p>
        </w:tc>
      </w:tr>
      <w:tr w14:paraId="4655CF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365095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auto"/>
              <w:jc w:val="both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sz w:val="16"/>
              </w:rPr>
              <w:t>B</w:t>
            </w:r>
          </w:p>
        </w:tc>
        <w:tc>
          <w:tcPr>
            <w:tcW w:w="0" w:type="auto"/>
          </w:tcPr>
          <w:p w14:paraId="686C61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sz w:val="16"/>
              </w:rPr>
              <w:t>B. Song 2025</w:t>
            </w:r>
          </w:p>
        </w:tc>
        <w:tc>
          <w:tcPr>
            <w:tcW w:w="0" w:type="auto"/>
          </w:tcPr>
          <w:p w14:paraId="3BC68B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sz w:val="16"/>
              </w:rPr>
              <w:t>Serious</w:t>
            </w:r>
          </w:p>
        </w:tc>
        <w:tc>
          <w:tcPr>
            <w:tcW w:w="0" w:type="auto"/>
          </w:tcPr>
          <w:p w14:paraId="386734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sz w:val="16"/>
              </w:rPr>
              <w:t>Serious</w:t>
            </w:r>
          </w:p>
        </w:tc>
        <w:tc>
          <w:tcPr>
            <w:tcW w:w="0" w:type="auto"/>
          </w:tcPr>
          <w:p w14:paraId="2BD3EE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sz w:val="16"/>
              </w:rPr>
              <w:t>Moderate</w:t>
            </w:r>
          </w:p>
        </w:tc>
        <w:tc>
          <w:tcPr>
            <w:tcW w:w="0" w:type="auto"/>
          </w:tcPr>
          <w:p w14:paraId="223047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sz w:val="16"/>
              </w:rPr>
              <w:t>Low</w:t>
            </w:r>
          </w:p>
        </w:tc>
        <w:tc>
          <w:tcPr>
            <w:tcW w:w="0" w:type="auto"/>
          </w:tcPr>
          <w:p w14:paraId="29E2C5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sz w:val="16"/>
              </w:rPr>
              <w:t>Moderate</w:t>
            </w:r>
          </w:p>
        </w:tc>
        <w:tc>
          <w:tcPr>
            <w:tcW w:w="0" w:type="auto"/>
          </w:tcPr>
          <w:p w14:paraId="73E978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sz w:val="16"/>
              </w:rPr>
              <w:t>Low</w:t>
            </w:r>
          </w:p>
        </w:tc>
        <w:tc>
          <w:tcPr>
            <w:tcW w:w="0" w:type="auto"/>
          </w:tcPr>
          <w:p w14:paraId="64C9A8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sz w:val="16"/>
              </w:rPr>
              <w:t>Moderate</w:t>
            </w:r>
          </w:p>
        </w:tc>
        <w:tc>
          <w:tcPr>
            <w:tcW w:w="0" w:type="auto"/>
          </w:tcPr>
          <w:p w14:paraId="1018B1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sz w:val="16"/>
              </w:rPr>
              <w:t>Moderate</w:t>
            </w:r>
          </w:p>
        </w:tc>
        <w:tc>
          <w:tcPr>
            <w:tcW w:w="0" w:type="auto"/>
          </w:tcPr>
          <w:p w14:paraId="5AA6EE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sz w:val="16"/>
              </w:rPr>
              <w:t>Non-random comparison with limited reporting of allocation procedures and analytical adjustment.</w:t>
            </w:r>
          </w:p>
        </w:tc>
      </w:tr>
      <w:tr w14:paraId="04BD09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0BDB62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auto"/>
              <w:jc w:val="both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sz w:val="16"/>
              </w:rPr>
              <w:t>B</w:t>
            </w:r>
          </w:p>
        </w:tc>
        <w:tc>
          <w:tcPr>
            <w:tcW w:w="0" w:type="auto"/>
          </w:tcPr>
          <w:p w14:paraId="535332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sz w:val="16"/>
              </w:rPr>
              <w:t>B. Yang 2024</w:t>
            </w:r>
          </w:p>
        </w:tc>
        <w:tc>
          <w:tcPr>
            <w:tcW w:w="0" w:type="auto"/>
          </w:tcPr>
          <w:p w14:paraId="7D762B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sz w:val="16"/>
              </w:rPr>
              <w:t>Serious</w:t>
            </w:r>
          </w:p>
        </w:tc>
        <w:tc>
          <w:tcPr>
            <w:tcW w:w="0" w:type="auto"/>
          </w:tcPr>
          <w:p w14:paraId="02DF8A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sz w:val="16"/>
              </w:rPr>
              <w:t>Serious</w:t>
            </w:r>
          </w:p>
        </w:tc>
        <w:tc>
          <w:tcPr>
            <w:tcW w:w="0" w:type="auto"/>
          </w:tcPr>
          <w:p w14:paraId="00386CC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sz w:val="16"/>
              </w:rPr>
              <w:t>Moderate</w:t>
            </w:r>
          </w:p>
        </w:tc>
        <w:tc>
          <w:tcPr>
            <w:tcW w:w="0" w:type="auto"/>
          </w:tcPr>
          <w:p w14:paraId="05E60F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sz w:val="16"/>
              </w:rPr>
              <w:t>Low</w:t>
            </w:r>
          </w:p>
        </w:tc>
        <w:tc>
          <w:tcPr>
            <w:tcW w:w="0" w:type="auto"/>
          </w:tcPr>
          <w:p w14:paraId="573B05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sz w:val="16"/>
              </w:rPr>
              <w:t>Moderate</w:t>
            </w:r>
          </w:p>
        </w:tc>
        <w:tc>
          <w:tcPr>
            <w:tcW w:w="0" w:type="auto"/>
          </w:tcPr>
          <w:p w14:paraId="1D07C2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sz w:val="16"/>
              </w:rPr>
              <w:t>Low</w:t>
            </w:r>
          </w:p>
        </w:tc>
        <w:tc>
          <w:tcPr>
            <w:tcW w:w="0" w:type="auto"/>
          </w:tcPr>
          <w:p w14:paraId="087CF2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sz w:val="16"/>
              </w:rPr>
              <w:t>Moderate</w:t>
            </w:r>
          </w:p>
        </w:tc>
        <w:tc>
          <w:tcPr>
            <w:tcW w:w="0" w:type="auto"/>
          </w:tcPr>
          <w:p w14:paraId="5CB451C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sz w:val="16"/>
              </w:rPr>
              <w:t>Moderate</w:t>
            </w:r>
          </w:p>
        </w:tc>
        <w:tc>
          <w:tcPr>
            <w:tcW w:w="0" w:type="auto"/>
          </w:tcPr>
          <w:p w14:paraId="701165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sz w:val="16"/>
              </w:rPr>
              <w:t>Retrospective design, very small sample, and no formal confounding adjustment.</w:t>
            </w:r>
          </w:p>
        </w:tc>
      </w:tr>
      <w:tr w14:paraId="53B8C4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3BBC9E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auto"/>
              <w:jc w:val="both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sz w:val="16"/>
              </w:rPr>
              <w:t>B</w:t>
            </w:r>
          </w:p>
        </w:tc>
        <w:tc>
          <w:tcPr>
            <w:tcW w:w="0" w:type="auto"/>
          </w:tcPr>
          <w:p w14:paraId="2D77EE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sz w:val="16"/>
              </w:rPr>
              <w:t>B. Yu 2024</w:t>
            </w:r>
          </w:p>
        </w:tc>
        <w:tc>
          <w:tcPr>
            <w:tcW w:w="0" w:type="auto"/>
          </w:tcPr>
          <w:p w14:paraId="49DEF5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sz w:val="16"/>
              </w:rPr>
              <w:t>Serious</w:t>
            </w:r>
          </w:p>
        </w:tc>
        <w:tc>
          <w:tcPr>
            <w:tcW w:w="0" w:type="auto"/>
          </w:tcPr>
          <w:p w14:paraId="1CD0A2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sz w:val="16"/>
              </w:rPr>
              <w:t>Serious</w:t>
            </w:r>
          </w:p>
        </w:tc>
        <w:tc>
          <w:tcPr>
            <w:tcW w:w="0" w:type="auto"/>
          </w:tcPr>
          <w:p w14:paraId="06D7C0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sz w:val="16"/>
              </w:rPr>
              <w:t>Serious</w:t>
            </w:r>
          </w:p>
        </w:tc>
        <w:tc>
          <w:tcPr>
            <w:tcW w:w="0" w:type="auto"/>
          </w:tcPr>
          <w:p w14:paraId="20A5A0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sz w:val="16"/>
              </w:rPr>
              <w:t>Low</w:t>
            </w:r>
          </w:p>
        </w:tc>
        <w:tc>
          <w:tcPr>
            <w:tcW w:w="0" w:type="auto"/>
          </w:tcPr>
          <w:p w14:paraId="3EB05F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sz w:val="16"/>
              </w:rPr>
              <w:t>Moderate</w:t>
            </w:r>
          </w:p>
        </w:tc>
        <w:tc>
          <w:tcPr>
            <w:tcW w:w="0" w:type="auto"/>
          </w:tcPr>
          <w:p w14:paraId="3B95CB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sz w:val="16"/>
              </w:rPr>
              <w:t>Moderate</w:t>
            </w:r>
          </w:p>
        </w:tc>
        <w:tc>
          <w:tcPr>
            <w:tcW w:w="0" w:type="auto"/>
          </w:tcPr>
          <w:p w14:paraId="655AE4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sz w:val="16"/>
              </w:rPr>
              <w:t>Moderate</w:t>
            </w:r>
          </w:p>
        </w:tc>
        <w:tc>
          <w:tcPr>
            <w:tcW w:w="0" w:type="auto"/>
          </w:tcPr>
          <w:p w14:paraId="5BF1F1A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sz w:val="16"/>
              </w:rPr>
              <w:t>Moderate</w:t>
            </w:r>
          </w:p>
        </w:tc>
        <w:tc>
          <w:tcPr>
            <w:tcW w:w="0" w:type="auto"/>
          </w:tcPr>
          <w:p w14:paraId="733C69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sz w:val="16"/>
              </w:rPr>
              <w:t>Retrospective procedure-based allocation and no multivariable adjustment for baseline differences.</w:t>
            </w:r>
          </w:p>
        </w:tc>
      </w:tr>
      <w:tr w14:paraId="3B9CBD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3E395B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auto"/>
              <w:jc w:val="both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sz w:val="16"/>
              </w:rPr>
              <w:t>C</w:t>
            </w:r>
          </w:p>
        </w:tc>
        <w:tc>
          <w:tcPr>
            <w:tcW w:w="0" w:type="auto"/>
          </w:tcPr>
          <w:p w14:paraId="197D3D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sz w:val="16"/>
              </w:rPr>
              <w:t>C. Chen Yan 2025</w:t>
            </w:r>
          </w:p>
        </w:tc>
        <w:tc>
          <w:tcPr>
            <w:tcW w:w="0" w:type="auto"/>
          </w:tcPr>
          <w:p w14:paraId="0CEBD2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sz w:val="16"/>
              </w:rPr>
              <w:t>Serious</w:t>
            </w:r>
          </w:p>
        </w:tc>
        <w:tc>
          <w:tcPr>
            <w:tcW w:w="0" w:type="auto"/>
          </w:tcPr>
          <w:p w14:paraId="22C7B9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sz w:val="16"/>
              </w:rPr>
              <w:t>Serious</w:t>
            </w:r>
          </w:p>
        </w:tc>
        <w:tc>
          <w:tcPr>
            <w:tcW w:w="0" w:type="auto"/>
          </w:tcPr>
          <w:p w14:paraId="4F7FB3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sz w:val="16"/>
              </w:rPr>
              <w:t>Moderate</w:t>
            </w:r>
          </w:p>
        </w:tc>
        <w:tc>
          <w:tcPr>
            <w:tcW w:w="0" w:type="auto"/>
          </w:tcPr>
          <w:p w14:paraId="6E1A51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sz w:val="16"/>
              </w:rPr>
              <w:t>Low</w:t>
            </w:r>
          </w:p>
        </w:tc>
        <w:tc>
          <w:tcPr>
            <w:tcW w:w="0" w:type="auto"/>
          </w:tcPr>
          <w:p w14:paraId="65018E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sz w:val="16"/>
              </w:rPr>
              <w:t>Moderate</w:t>
            </w:r>
          </w:p>
        </w:tc>
        <w:tc>
          <w:tcPr>
            <w:tcW w:w="0" w:type="auto"/>
          </w:tcPr>
          <w:p w14:paraId="1F444F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sz w:val="16"/>
              </w:rPr>
              <w:t>Low</w:t>
            </w:r>
          </w:p>
        </w:tc>
        <w:tc>
          <w:tcPr>
            <w:tcW w:w="0" w:type="auto"/>
          </w:tcPr>
          <w:p w14:paraId="4D7E86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sz w:val="16"/>
              </w:rPr>
              <w:t>Moderate</w:t>
            </w:r>
          </w:p>
        </w:tc>
        <w:tc>
          <w:tcPr>
            <w:tcW w:w="0" w:type="auto"/>
          </w:tcPr>
          <w:p w14:paraId="549158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sz w:val="16"/>
              </w:rPr>
              <w:t>Moderate</w:t>
            </w:r>
          </w:p>
        </w:tc>
        <w:tc>
          <w:tcPr>
            <w:tcW w:w="0" w:type="auto"/>
          </w:tcPr>
          <w:p w14:paraId="068846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sz w:val="16"/>
              </w:rPr>
              <w:t>Retrospective comparative design with likely baseline imbalance and limited adjustment.</w:t>
            </w:r>
          </w:p>
        </w:tc>
      </w:tr>
      <w:tr w14:paraId="69E55D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290814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auto"/>
              <w:jc w:val="both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sz w:val="16"/>
              </w:rPr>
              <w:t>C</w:t>
            </w:r>
          </w:p>
        </w:tc>
        <w:tc>
          <w:tcPr>
            <w:tcW w:w="0" w:type="auto"/>
          </w:tcPr>
          <w:p w14:paraId="6AF5C1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sz w:val="16"/>
              </w:rPr>
              <w:t>C. Li Jianhua 2024</w:t>
            </w:r>
          </w:p>
        </w:tc>
        <w:tc>
          <w:tcPr>
            <w:tcW w:w="0" w:type="auto"/>
          </w:tcPr>
          <w:p w14:paraId="16794B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sz w:val="16"/>
              </w:rPr>
              <w:t>Serious</w:t>
            </w:r>
          </w:p>
        </w:tc>
        <w:tc>
          <w:tcPr>
            <w:tcW w:w="0" w:type="auto"/>
          </w:tcPr>
          <w:p w14:paraId="71AB230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sz w:val="16"/>
              </w:rPr>
              <w:t>Serious</w:t>
            </w:r>
          </w:p>
        </w:tc>
        <w:tc>
          <w:tcPr>
            <w:tcW w:w="0" w:type="auto"/>
          </w:tcPr>
          <w:p w14:paraId="38CE13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sz w:val="16"/>
              </w:rPr>
              <w:t>Moderate</w:t>
            </w:r>
          </w:p>
        </w:tc>
        <w:tc>
          <w:tcPr>
            <w:tcW w:w="0" w:type="auto"/>
          </w:tcPr>
          <w:p w14:paraId="32FB05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sz w:val="16"/>
              </w:rPr>
              <w:t>Low</w:t>
            </w:r>
          </w:p>
        </w:tc>
        <w:tc>
          <w:tcPr>
            <w:tcW w:w="0" w:type="auto"/>
          </w:tcPr>
          <w:p w14:paraId="6DF31E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sz w:val="16"/>
              </w:rPr>
              <w:t>Moderate</w:t>
            </w:r>
          </w:p>
        </w:tc>
        <w:tc>
          <w:tcPr>
            <w:tcW w:w="0" w:type="auto"/>
          </w:tcPr>
          <w:p w14:paraId="204624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sz w:val="16"/>
              </w:rPr>
              <w:t>Moderate</w:t>
            </w:r>
          </w:p>
        </w:tc>
        <w:tc>
          <w:tcPr>
            <w:tcW w:w="0" w:type="auto"/>
          </w:tcPr>
          <w:p w14:paraId="0C8880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sz w:val="16"/>
              </w:rPr>
              <w:t>Moderate</w:t>
            </w:r>
          </w:p>
        </w:tc>
        <w:tc>
          <w:tcPr>
            <w:tcW w:w="0" w:type="auto"/>
          </w:tcPr>
          <w:p w14:paraId="7DBA12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sz w:val="16"/>
              </w:rPr>
              <w:t>Moderate</w:t>
            </w:r>
          </w:p>
        </w:tc>
        <w:tc>
          <w:tcPr>
            <w:tcW w:w="0" w:type="auto"/>
          </w:tcPr>
          <w:p w14:paraId="1FBE0D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sz w:val="16"/>
              </w:rPr>
              <w:t>Non-random comparative design with likely confounding and treatment-selection bias.</w:t>
            </w:r>
          </w:p>
        </w:tc>
      </w:tr>
    </w:tbl>
    <w:p w14:paraId="5E5F4B6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480" w:lineRule="auto"/>
        <w:jc w:val="both"/>
        <w:textAlignment w:val="auto"/>
        <w:rPr>
          <w:rFonts w:hint="default" w:ascii="Times New Roman" w:hAnsi="Times New Roman" w:cs="Times New Roman"/>
        </w:rPr>
      </w:pPr>
    </w:p>
    <w:sectPr>
      <w:pgSz w:w="15840" w:h="12240" w:orient="landscape"/>
      <w:pgMar w:top="792" w:right="792" w:bottom="792" w:left="792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10AB4410"/>
    <w:rsid w:val="459852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qFormat="1"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qFormat="1"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qFormat="1" w:unhideWhenUsed="0" w:uiPriority="67" w:semiHidden="0" w:name="Medium Grid 1 Accent 3"/>
    <w:lsdException w:unhideWhenUsed="0" w:uiPriority="68" w:semiHidden="0" w:name="Medium Grid 2 Accent 3"/>
    <w:lsdException w:qFormat="1"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qFormat="1"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qFormat="1"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qFormat="1"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Arial" w:hAnsi="Arial" w:eastAsia="Arial" w:cstheme="minorBidi"/>
      <w:sz w:val="20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6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uiPriority w:val="1"/>
  </w:style>
  <w:style w:type="table" w:default="1" w:styleId="3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qFormat/>
    <w:uiPriority w:val="99"/>
  </w:style>
  <w:style w:type="character" w:customStyle="1" w:styleId="136">
    <w:name w:val="Footer Char"/>
    <w:basedOn w:val="132"/>
    <w:link w:val="24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442</Words>
  <Characters>2786</Characters>
  <Lines>0</Lines>
  <Paragraphs>0</Paragraphs>
  <TotalTime>2</TotalTime>
  <ScaleCrop>false</ScaleCrop>
  <LinksUpToDate>false</LinksUpToDate>
  <CharactersWithSpaces>3063</CharactersWithSpaces>
  <Application>WPS Office_12.1.0.25222_F1E327BC-269C-435d-A152-05C5408002CA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套路暖人心</cp:lastModifiedBy>
  <dcterms:modified xsi:type="dcterms:W3CDTF">2026-04-01T15:54:27Z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eyJoZGlkIjoiYjIyMTRlNmFmNThiOWQ3ZTBkODgzYzdhNGM5MjhhZTUiLCJ1c2VySWQiOiIyNjcyOTY1MDYifQ==</vt:lpwstr>
  </property>
  <property fmtid="{D5CDD505-2E9C-101B-9397-08002B2CF9AE}" pid="3" name="KSOProductBuildVer">
    <vt:lpwstr>2052-12.1.0.25222</vt:lpwstr>
  </property>
  <property fmtid="{D5CDD505-2E9C-101B-9397-08002B2CF9AE}" pid="4" name="ICV">
    <vt:lpwstr>0CB53DB7D99342B0B1B9C8FF06C1B992_12</vt:lpwstr>
  </property>
</Properties>
</file>