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AC1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" w:cs="Times New Roman"/>
          <w:b/>
          <w:sz w:val="24"/>
        </w:rPr>
        <w:t>Supplementary Table S6. Operational Definitions and Harmonization Rules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3139"/>
        <w:gridCol w:w="1603"/>
        <w:gridCol w:w="1759"/>
        <w:gridCol w:w="2804"/>
      </w:tblGrid>
      <w:tr w14:paraId="3060E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D9EAF7"/>
          </w:tcPr>
          <w:p w14:paraId="0BB6F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Outcome / construct</w:t>
            </w:r>
          </w:p>
        </w:tc>
        <w:tc>
          <w:tcPr>
            <w:tcW w:w="0" w:type="auto"/>
            <w:shd w:val="clear" w:color="auto" w:fill="D9EAF7"/>
          </w:tcPr>
          <w:p w14:paraId="6780F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Definition used in this review</w:t>
            </w:r>
          </w:p>
        </w:tc>
        <w:tc>
          <w:tcPr>
            <w:tcW w:w="0" w:type="auto"/>
            <w:shd w:val="clear" w:color="auto" w:fill="D9EAF7"/>
          </w:tcPr>
          <w:p w14:paraId="18A4F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Typical analysis unit</w:t>
            </w:r>
          </w:p>
        </w:tc>
        <w:tc>
          <w:tcPr>
            <w:tcW w:w="0" w:type="auto"/>
            <w:shd w:val="clear" w:color="auto" w:fill="D9EAF7"/>
          </w:tcPr>
          <w:p w14:paraId="27947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Time-window handling</w:t>
            </w:r>
          </w:p>
        </w:tc>
        <w:tc>
          <w:tcPr>
            <w:tcW w:w="0" w:type="auto"/>
            <w:shd w:val="clear" w:color="auto" w:fill="D9EAF7"/>
          </w:tcPr>
          <w:p w14:paraId="5C19B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Pooling rule / review note</w:t>
            </w:r>
          </w:p>
        </w:tc>
      </w:tr>
      <w:tr w14:paraId="3CEC6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E842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ABI</w:t>
            </w:r>
          </w:p>
        </w:tc>
        <w:tc>
          <w:tcPr>
            <w:tcW w:w="0" w:type="auto"/>
          </w:tcPr>
          <w:p w14:paraId="2557D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Ankle-brachial index reported as a continuous perfusion-related measure.</w:t>
            </w:r>
          </w:p>
        </w:tc>
        <w:tc>
          <w:tcPr>
            <w:tcW w:w="0" w:type="auto"/>
          </w:tcPr>
          <w:p w14:paraId="65C36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Usually patient-level</w:t>
            </w:r>
          </w:p>
        </w:tc>
        <w:tc>
          <w:tcPr>
            <w:tcW w:w="0" w:type="auto"/>
          </w:tcPr>
          <w:p w14:paraId="0D0EF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Pooled only within aligned short-term or mid-term windows.</w:t>
            </w:r>
          </w:p>
        </w:tc>
        <w:tc>
          <w:tcPr>
            <w:tcW w:w="0" w:type="auto"/>
          </w:tcPr>
          <w:p w14:paraId="06201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Eligible for mean-difference pooling when follow-up windows and reporting units were sufficiently comparable.</w:t>
            </w:r>
          </w:p>
        </w:tc>
      </w:tr>
      <w:tr w14:paraId="5F442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7F8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Distal oxygenation variables</w:t>
            </w:r>
          </w:p>
        </w:tc>
        <w:tc>
          <w:tcPr>
            <w:tcW w:w="0" w:type="auto"/>
          </w:tcPr>
          <w:p w14:paraId="2BF60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Toe oxygen saturation, transcutaneous oxygen pressure, or closely related distal tissue oxygenation measures.</w:t>
            </w:r>
          </w:p>
        </w:tc>
        <w:tc>
          <w:tcPr>
            <w:tcW w:w="0" w:type="auto"/>
          </w:tcPr>
          <w:p w14:paraId="5F380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Patient-level or limb-level as reported; not mixed within a pool</w:t>
            </w:r>
          </w:p>
        </w:tc>
        <w:tc>
          <w:tcPr>
            <w:tcW w:w="0" w:type="auto"/>
          </w:tcPr>
          <w:p w14:paraId="535DE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Window-specific pooling only when follow-up alignment was adequate.</w:t>
            </w:r>
          </w:p>
        </w:tc>
        <w:tc>
          <w:tcPr>
            <w:tcW w:w="0" w:type="auto"/>
          </w:tcPr>
          <w:p w14:paraId="79BC3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Pooled only when both construct and numerical scale were directly comparable; otherwise summarized narratively.</w:t>
            </w:r>
          </w:p>
        </w:tc>
      </w:tr>
      <w:tr w14:paraId="1EFD0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9D9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Pain score</w:t>
            </w:r>
          </w:p>
        </w:tc>
        <w:tc>
          <w:tcPr>
            <w:tcW w:w="0" w:type="auto"/>
          </w:tcPr>
          <w:p w14:paraId="6C097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Numerical pain score reported on a 0-10 scale, including VAS or NRS.</w:t>
            </w:r>
          </w:p>
        </w:tc>
        <w:tc>
          <w:tcPr>
            <w:tcW w:w="0" w:type="auto"/>
          </w:tcPr>
          <w:p w14:paraId="6899A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Patient-level</w:t>
            </w:r>
          </w:p>
        </w:tc>
        <w:tc>
          <w:tcPr>
            <w:tcW w:w="0" w:type="auto"/>
          </w:tcPr>
          <w:p w14:paraId="75C21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Short-term and mid-term analyses kept separate.</w:t>
            </w:r>
          </w:p>
        </w:tc>
        <w:tc>
          <w:tcPr>
            <w:tcW w:w="0" w:type="auto"/>
          </w:tcPr>
          <w:p w14:paraId="6EE9D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Main pooled analyses retained only directly comparable 0-10 pain scales; Group C sensitivity analysis excluded the single NRS-based study.</w:t>
            </w:r>
          </w:p>
        </w:tc>
      </w:tr>
      <w:tr w14:paraId="285B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5C97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Skin temperature</w:t>
            </w:r>
          </w:p>
        </w:tc>
        <w:tc>
          <w:tcPr>
            <w:tcW w:w="0" w:type="auto"/>
          </w:tcPr>
          <w:p w14:paraId="2B3DF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Affected-foot skin temperature reported in degrees Celsius.</w:t>
            </w:r>
          </w:p>
        </w:tc>
        <w:tc>
          <w:tcPr>
            <w:tcW w:w="0" w:type="auto"/>
          </w:tcPr>
          <w:p w14:paraId="0066B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Usually patient-level</w:t>
            </w:r>
          </w:p>
        </w:tc>
        <w:tc>
          <w:tcPr>
            <w:tcW w:w="0" w:type="auto"/>
          </w:tcPr>
          <w:p w14:paraId="6BC53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Short-term pooling only.</w:t>
            </w:r>
          </w:p>
        </w:tc>
        <w:tc>
          <w:tcPr>
            <w:tcW w:w="0" w:type="auto"/>
          </w:tcPr>
          <w:p w14:paraId="7D4F4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Pooled only when directly comparable postoperative measurements were available.</w:t>
            </w:r>
          </w:p>
        </w:tc>
      </w:tr>
      <w:tr w14:paraId="4910F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1CA9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Wound/ulcer healing time</w:t>
            </w:r>
          </w:p>
        </w:tc>
        <w:tc>
          <w:tcPr>
            <w:tcW w:w="0" w:type="auto"/>
          </w:tcPr>
          <w:p w14:paraId="25ACE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Time required for ulcer or wound healing.</w:t>
            </w:r>
          </w:p>
        </w:tc>
        <w:tc>
          <w:tcPr>
            <w:tcW w:w="0" w:type="auto"/>
          </w:tcPr>
          <w:p w14:paraId="16F23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Patient-level or limb-level as reported; not mixed within a pool</w:t>
            </w:r>
          </w:p>
        </w:tc>
        <w:tc>
          <w:tcPr>
            <w:tcW w:w="0" w:type="auto"/>
          </w:tcPr>
          <w:p w14:paraId="31AAB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Interpreted as a later healing-related endpoint.</w:t>
            </w:r>
          </w:p>
        </w:tc>
        <w:tc>
          <w:tcPr>
            <w:tcW w:w="0" w:type="auto"/>
          </w:tcPr>
          <w:p w14:paraId="7173C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Never combined with bone-window healing time or with binary healing-rate outcomes.</w:t>
            </w:r>
          </w:p>
        </w:tc>
      </w:tr>
      <w:tr w14:paraId="567E5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4A7D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Bone-window healing time</w:t>
            </w:r>
          </w:p>
        </w:tc>
        <w:tc>
          <w:tcPr>
            <w:tcW w:w="0" w:type="auto"/>
          </w:tcPr>
          <w:p w14:paraId="1EEEF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Time to healing of the cortical bone window or osteotomy site.</w:t>
            </w:r>
          </w:p>
        </w:tc>
        <w:tc>
          <w:tcPr>
            <w:tcW w:w="0" w:type="auto"/>
          </w:tcPr>
          <w:p w14:paraId="3A1A3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Procedure-level or patient-level depending on report</w:t>
            </w:r>
          </w:p>
        </w:tc>
        <w:tc>
          <w:tcPr>
            <w:tcW w:w="0" w:type="auto"/>
          </w:tcPr>
          <w:p w14:paraId="72457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Not pooled with ulcer-healing outcomes.</w:t>
            </w:r>
          </w:p>
        </w:tc>
        <w:tc>
          <w:tcPr>
            <w:tcW w:w="0" w:type="auto"/>
          </w:tcPr>
          <w:p w14:paraId="43ED4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Considered a distinct construct and summarized separately when reported.</w:t>
            </w:r>
          </w:p>
        </w:tc>
      </w:tr>
      <w:tr w14:paraId="258D0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1CF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Major amputation</w:t>
            </w:r>
          </w:p>
        </w:tc>
        <w:tc>
          <w:tcPr>
            <w:tcW w:w="0" w:type="auto"/>
          </w:tcPr>
          <w:p w14:paraId="16EDF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Amputation above the ankle when explicitly reported.</w:t>
            </w:r>
          </w:p>
        </w:tc>
        <w:tc>
          <w:tcPr>
            <w:tcW w:w="0" w:type="auto"/>
          </w:tcPr>
          <w:p w14:paraId="6E35C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Usually limb-level</w:t>
            </w:r>
          </w:p>
        </w:tc>
        <w:tc>
          <w:tcPr>
            <w:tcW w:w="0" w:type="auto"/>
          </w:tcPr>
          <w:p w14:paraId="17099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No harmonized pooled window retained.</w:t>
            </w:r>
          </w:p>
        </w:tc>
        <w:tc>
          <w:tcPr>
            <w:tcW w:w="0" w:type="auto"/>
          </w:tcPr>
          <w:p w14:paraId="0EA67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Reporting was sparse and structurally inconsistent; this outcome was summarized narratively rather than retained as a formal pooled estimate.</w:t>
            </w:r>
          </w:p>
        </w:tc>
      </w:tr>
      <w:tr w14:paraId="04F9E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7368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Adverse events / complications</w:t>
            </w:r>
          </w:p>
        </w:tc>
        <w:tc>
          <w:tcPr>
            <w:tcW w:w="0" w:type="auto"/>
          </w:tcPr>
          <w:p w14:paraId="620A1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Procedure-related adverse events, including incision infection, pin-tract infection, osteomyelitis, osteotomy-site fracture, skin necrosis, and related complications when reported.</w:t>
            </w:r>
          </w:p>
        </w:tc>
        <w:tc>
          <w:tcPr>
            <w:tcW w:w="0" w:type="auto"/>
          </w:tcPr>
          <w:p w14:paraId="22187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Patient-level as reported</w:t>
            </w:r>
          </w:p>
        </w:tc>
        <w:tc>
          <w:tcPr>
            <w:tcW w:w="0" w:type="auto"/>
          </w:tcPr>
          <w:p w14:paraId="7AB6F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Follow-up period varied by study.</w:t>
            </w:r>
          </w:p>
        </w:tc>
        <w:tc>
          <w:tcPr>
            <w:tcW w:w="0" w:type="auto"/>
          </w:tcPr>
          <w:p w14:paraId="642F5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Total adverse-event counts were pooled only when sufficiently comparable; specific event types are summarized in Supplementary Table S7.</w:t>
            </w:r>
          </w:p>
        </w:tc>
      </w:tr>
      <w:tr w14:paraId="4090F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5AC2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Total effective rate</w:t>
            </w:r>
          </w:p>
        </w:tc>
        <w:tc>
          <w:tcPr>
            <w:tcW w:w="0" w:type="auto"/>
          </w:tcPr>
          <w:p w14:paraId="7B19E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Composite response outcome based on each study's original criteria.</w:t>
            </w:r>
          </w:p>
        </w:tc>
        <w:tc>
          <w:tcPr>
            <w:tcW w:w="0" w:type="auto"/>
          </w:tcPr>
          <w:p w14:paraId="0BB01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Patient-level or limb-level as reported</w:t>
            </w:r>
          </w:p>
        </w:tc>
        <w:tc>
          <w:tcPr>
            <w:tcW w:w="0" w:type="auto"/>
          </w:tcPr>
          <w:p w14:paraId="667E7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Short-term only in retained pooling.</w:t>
            </w:r>
          </w:p>
        </w:tc>
        <w:tc>
          <w:tcPr>
            <w:tcW w:w="0" w:type="auto"/>
          </w:tcPr>
          <w:p w14:paraId="07459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Analyzed separately and interpreted cautiously because definitio</w:t>
            </w:r>
            <w:bookmarkStart w:id="0" w:name="_GoBack"/>
            <w:bookmarkEnd w:id="0"/>
            <w:r>
              <w:rPr>
                <w:rFonts w:hint="default" w:ascii="Times New Roman" w:hAnsi="Times New Roman" w:eastAsia="Arial" w:cs="Times New Roman"/>
                <w:sz w:val="18"/>
              </w:rPr>
              <w:t>ns were composite and were not equivalent to wound healing or limb salvage.</w:t>
            </w:r>
          </w:p>
        </w:tc>
      </w:tr>
      <w:tr w14:paraId="5E4B4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246C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Binary healing outcomes</w:t>
            </w:r>
          </w:p>
        </w:tc>
        <w:tc>
          <w:tcPr>
            <w:tcW w:w="0" w:type="auto"/>
          </w:tcPr>
          <w:p w14:paraId="312CD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Healing rate, wound closure, or ulcer closure reported as a dichotomous endpoint.</w:t>
            </w:r>
          </w:p>
        </w:tc>
        <w:tc>
          <w:tcPr>
            <w:tcW w:w="0" w:type="auto"/>
          </w:tcPr>
          <w:p w14:paraId="6D14A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Usually limb-level</w:t>
            </w:r>
          </w:p>
        </w:tc>
        <w:tc>
          <w:tcPr>
            <w:tcW w:w="0" w:type="auto"/>
          </w:tcPr>
          <w:p w14:paraId="47B8F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Window-specific when possible.</w:t>
            </w:r>
          </w:p>
        </w:tc>
        <w:tc>
          <w:tcPr>
            <w:tcW w:w="0" w:type="auto"/>
          </w:tcPr>
          <w:p w14:paraId="26694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Not merged with total effective rate and not treated as interchangeable with healing time.</w:t>
            </w:r>
          </w:p>
        </w:tc>
      </w:tr>
    </w:tbl>
    <w:p w14:paraId="5A4D6B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Abbreviations: ABI, ankle-brachial index; NRS, numerical rating scale; VAS, visual analogue scale.</w:t>
      </w:r>
    </w:p>
    <w:sectPr>
      <w:pgSz w:w="15840" w:h="12240" w:orient="landscape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347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2768</Characters>
  <Lines>0</Lines>
  <Paragraphs>0</Paragraphs>
  <TotalTime>0</TotalTime>
  <ScaleCrop>false</ScaleCrop>
  <LinksUpToDate>false</LinksUpToDate>
  <CharactersWithSpaces>3121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套路暖人心</cp:lastModifiedBy>
  <dcterms:modified xsi:type="dcterms:W3CDTF">2026-04-01T15:53:57Z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eyJoZGlkIjoiYjIyMTRlNmFmNThiOWQ3ZTBkODgzYzdhNGM5MjhhZTUiLCJ1c2VySWQiOiIyNjcyOTY1MDYifQ==</vt:lpwstr>
  </property>
  <property fmtid="{D5CDD505-2E9C-101B-9397-08002B2CF9AE}" pid="3" name="KSOProductBuildVer">
    <vt:lpwstr>2052-12.1.0.25222</vt:lpwstr>
  </property>
  <property fmtid="{D5CDD505-2E9C-101B-9397-08002B2CF9AE}" pid="4" name="ICV">
    <vt:lpwstr>B1AFA5B3D5FD45679E1FA62662F17C7C_12</vt:lpwstr>
  </property>
</Properties>
</file>