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AC97C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center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Arial" w:cs="Times New Roman"/>
          <w:b/>
          <w:sz w:val="24"/>
        </w:rPr>
        <w:t>Supplementary Table S7. Study-Level Complication Profile</w:t>
      </w:r>
    </w:p>
    <w:p w14:paraId="4ED266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This table supplements the pooled adverse-event analysis by summarizing the complication types reported in the source studies. Formal pooled adverse-event synthesis was retained only for Group B because safety reporting was sparse or non-comparable in the remaining comparisons.</w:t>
      </w:r>
    </w:p>
    <w:tbl>
      <w:tblPr>
        <w:tblStyle w:val="3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7"/>
        <w:gridCol w:w="1390"/>
        <w:gridCol w:w="2492"/>
        <w:gridCol w:w="2492"/>
        <w:gridCol w:w="1518"/>
        <w:gridCol w:w="2029"/>
      </w:tblGrid>
      <w:tr w14:paraId="396A3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  <w:shd w:val="clear" w:color="auto" w:fill="D9EAF7"/>
          </w:tcPr>
          <w:p w14:paraId="00716E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8"/>
              </w:rPr>
              <w:t>Study</w:t>
            </w:r>
          </w:p>
        </w:tc>
        <w:tc>
          <w:tcPr>
            <w:tcW w:w="0" w:type="auto"/>
            <w:shd w:val="clear" w:color="auto" w:fill="D9EAF7"/>
          </w:tcPr>
          <w:p w14:paraId="1D720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8"/>
              </w:rPr>
              <w:t>Comparison</w:t>
            </w:r>
          </w:p>
        </w:tc>
        <w:tc>
          <w:tcPr>
            <w:tcW w:w="2491" w:type="dxa"/>
            <w:shd w:val="clear" w:color="auto" w:fill="D9EAF7"/>
          </w:tcPr>
          <w:p w14:paraId="5B7C43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8"/>
              </w:rPr>
              <w:t>PD-arm reported complications</w:t>
            </w:r>
          </w:p>
        </w:tc>
        <w:tc>
          <w:tcPr>
            <w:tcW w:w="2491" w:type="dxa"/>
            <w:shd w:val="clear" w:color="auto" w:fill="D9EAF7"/>
          </w:tcPr>
          <w:p w14:paraId="7EB68A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8"/>
              </w:rPr>
              <w:t>Comparator-arm reported complic</w:t>
            </w:r>
            <w:bookmarkStart w:id="0" w:name="_GoBack"/>
            <w:bookmarkEnd w:id="0"/>
            <w:r>
              <w:rPr>
                <w:rFonts w:hint="default" w:ascii="Times New Roman" w:hAnsi="Times New Roman" w:eastAsia="Arial" w:cs="Times New Roman"/>
                <w:b/>
                <w:sz w:val="18"/>
              </w:rPr>
              <w:t>ations</w:t>
            </w:r>
          </w:p>
        </w:tc>
        <w:tc>
          <w:tcPr>
            <w:tcW w:w="0" w:type="auto"/>
            <w:shd w:val="clear" w:color="auto" w:fill="D9EAF7"/>
          </w:tcPr>
          <w:p w14:paraId="69C5D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8"/>
              </w:rPr>
              <w:t>Total complication count used in synthesis</w:t>
            </w:r>
          </w:p>
        </w:tc>
        <w:tc>
          <w:tcPr>
            <w:tcW w:w="0" w:type="auto"/>
            <w:shd w:val="clear" w:color="auto" w:fill="D9EAF7"/>
          </w:tcPr>
          <w:p w14:paraId="70EF07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b/>
                <w:sz w:val="18"/>
              </w:rPr>
              <w:t>Reporting note</w:t>
            </w:r>
          </w:p>
        </w:tc>
      </w:tr>
      <w:tr w14:paraId="57F6DF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57C1A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Yu 2024</w:t>
            </w:r>
          </w:p>
        </w:tc>
        <w:tc>
          <w:tcPr>
            <w:tcW w:w="0" w:type="auto"/>
          </w:tcPr>
          <w:p w14:paraId="6E5A1D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Pure PD vs TTT</w:t>
            </w:r>
          </w:p>
        </w:tc>
        <w:tc>
          <w:tcPr>
            <w:tcW w:w="2491" w:type="dxa"/>
          </w:tcPr>
          <w:p w14:paraId="7BDE22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1 incision infection.</w:t>
            </w:r>
          </w:p>
        </w:tc>
        <w:tc>
          <w:tcPr>
            <w:tcW w:w="2491" w:type="dxa"/>
          </w:tcPr>
          <w:p w14:paraId="5F33A4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1 pin-tract infection; 1 incision infection; 1 delayed healing of the transported segment; 4 skin-necrosis events in the transport area.</w:t>
            </w:r>
          </w:p>
        </w:tc>
        <w:tc>
          <w:tcPr>
            <w:tcW w:w="0" w:type="auto"/>
          </w:tcPr>
          <w:p w14:paraId="331F29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1/30 vs 7/28</w:t>
            </w:r>
          </w:p>
        </w:tc>
        <w:tc>
          <w:tcPr>
            <w:tcW w:w="0" w:type="auto"/>
          </w:tcPr>
          <w:p w14:paraId="678231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Specific event types were extractable from the source thesis and matched the retained pooled row.</w:t>
            </w:r>
          </w:p>
        </w:tc>
      </w:tr>
      <w:tr w14:paraId="6DF12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F066D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Yang Yang 2024</w:t>
            </w:r>
          </w:p>
        </w:tc>
        <w:tc>
          <w:tcPr>
            <w:tcW w:w="0" w:type="auto"/>
          </w:tcPr>
          <w:p w14:paraId="3D0270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Pure PD vs TTT</w:t>
            </w:r>
          </w:p>
        </w:tc>
        <w:tc>
          <w:tcPr>
            <w:tcW w:w="2491" w:type="dxa"/>
          </w:tcPr>
          <w:p w14:paraId="427CC0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No complication reported in the PD arm.</w:t>
            </w:r>
          </w:p>
        </w:tc>
        <w:tc>
          <w:tcPr>
            <w:tcW w:w="2491" w:type="dxa"/>
          </w:tcPr>
          <w:p w14:paraId="4D4E68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2 complications, including osteotomy-site fracture and pin-tract infection.</w:t>
            </w:r>
          </w:p>
        </w:tc>
        <w:tc>
          <w:tcPr>
            <w:tcW w:w="0" w:type="auto"/>
          </w:tcPr>
          <w:p w14:paraId="527786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0/11 vs 2/8</w:t>
            </w:r>
          </w:p>
        </w:tc>
        <w:tc>
          <w:tcPr>
            <w:tcW w:w="0" w:type="auto"/>
          </w:tcPr>
          <w:p w14:paraId="22B44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Specific event descriptions were available, but event counts were small.</w:t>
            </w:r>
          </w:p>
        </w:tc>
      </w:tr>
      <w:tr w14:paraId="1A79F2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567BC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Jiang 2025</w:t>
            </w:r>
          </w:p>
        </w:tc>
        <w:tc>
          <w:tcPr>
            <w:tcW w:w="0" w:type="auto"/>
          </w:tcPr>
          <w:p w14:paraId="14CB0C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Pure PD vs TTT</w:t>
            </w:r>
          </w:p>
        </w:tc>
        <w:tc>
          <w:tcPr>
            <w:tcW w:w="2491" w:type="dxa"/>
          </w:tcPr>
          <w:p w14:paraId="1DA2E7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3 pin-tract infections; no fracture or osteomyelitis reported in the PD arm.</w:t>
            </w:r>
          </w:p>
        </w:tc>
        <w:tc>
          <w:tcPr>
            <w:tcW w:w="2491" w:type="dxa"/>
          </w:tcPr>
          <w:p w14:paraId="52C8D7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5 pin-tract infections and 1 osteomyelitis.</w:t>
            </w:r>
          </w:p>
        </w:tc>
        <w:tc>
          <w:tcPr>
            <w:tcW w:w="0" w:type="auto"/>
          </w:tcPr>
          <w:p w14:paraId="011665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3/30 vs 6/30</w:t>
            </w:r>
          </w:p>
        </w:tc>
        <w:tc>
          <w:tcPr>
            <w:tcW w:w="0" w:type="auto"/>
          </w:tcPr>
          <w:p w14:paraId="01B625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Counts and event types were confirmed during source verification.</w:t>
            </w:r>
          </w:p>
        </w:tc>
      </w:tr>
      <w:tr w14:paraId="0B080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84A14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Song 2025</w:t>
            </w:r>
          </w:p>
        </w:tc>
        <w:tc>
          <w:tcPr>
            <w:tcW w:w="0" w:type="auto"/>
          </w:tcPr>
          <w:p w14:paraId="7C60A7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Pure PD vs TTT</w:t>
            </w:r>
          </w:p>
        </w:tc>
        <w:tc>
          <w:tcPr>
            <w:tcW w:w="2491" w:type="dxa"/>
          </w:tcPr>
          <w:p w14:paraId="2A0343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Specific event types were not clearly extractable; only the aggregated complication total was reported.</w:t>
            </w:r>
          </w:p>
        </w:tc>
        <w:tc>
          <w:tcPr>
            <w:tcW w:w="2491" w:type="dxa"/>
          </w:tcPr>
          <w:p w14:paraId="58AC08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Specific event types were not clearly extractable; only the aggregated complication total was reported.</w:t>
            </w:r>
          </w:p>
        </w:tc>
        <w:tc>
          <w:tcPr>
            <w:tcW w:w="0" w:type="auto"/>
          </w:tcPr>
          <w:p w14:paraId="1A4F6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5/30 vs 3/30</w:t>
            </w:r>
          </w:p>
        </w:tc>
        <w:tc>
          <w:tcPr>
            <w:tcW w:w="0" w:type="auto"/>
          </w:tcPr>
          <w:p w14:paraId="609F9A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Retained in pooled analysis on the basis of total event counts only.</w:t>
            </w:r>
          </w:p>
        </w:tc>
      </w:tr>
      <w:tr w14:paraId="627AE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A7910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left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Other groups</w:t>
            </w:r>
          </w:p>
        </w:tc>
        <w:tc>
          <w:tcPr>
            <w:tcW w:w="0" w:type="auto"/>
          </w:tcPr>
          <w:p w14:paraId="433E39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Group A and Group C comparisons</w:t>
            </w:r>
          </w:p>
        </w:tc>
        <w:tc>
          <w:tcPr>
            <w:tcW w:w="2491" w:type="dxa"/>
          </w:tcPr>
          <w:p w14:paraId="6F1CBD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Adverse-event reporting was present in some studies but was too sparse or structurally inconsistent for a retained pooled safety estimate.</w:t>
            </w:r>
          </w:p>
        </w:tc>
        <w:tc>
          <w:tcPr>
            <w:tcW w:w="2491" w:type="dxa"/>
          </w:tcPr>
          <w:p w14:paraId="272617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Adverse-event reporting was present in some studies but was too sparse or structurally inconsistent for a retained pooled safety estimate.</w:t>
            </w:r>
          </w:p>
        </w:tc>
        <w:tc>
          <w:tcPr>
            <w:tcW w:w="0" w:type="auto"/>
          </w:tcPr>
          <w:p w14:paraId="3D8CAF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Not formally pooled</w:t>
            </w:r>
          </w:p>
        </w:tc>
        <w:tc>
          <w:tcPr>
            <w:tcW w:w="0" w:type="auto"/>
          </w:tcPr>
          <w:p w14:paraId="228070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480" w:lineRule="auto"/>
              <w:jc w:val="center"/>
              <w:textAlignment w:val="auto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Arial" w:cs="Times New Roman"/>
                <w:sz w:val="18"/>
              </w:rPr>
              <w:t>These studies informed narrative safety interpretation only.</w:t>
            </w:r>
          </w:p>
        </w:tc>
      </w:tr>
    </w:tbl>
    <w:p w14:paraId="1912FBD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480" w:lineRule="auto"/>
        <w:jc w:val="both"/>
        <w:textAlignment w:val="auto"/>
        <w:rPr>
          <w:rFonts w:hint="default" w:ascii="Times New Roman" w:hAnsi="Times New Roman" w:cs="Times New Roman"/>
        </w:rPr>
      </w:pPr>
    </w:p>
    <w:sectPr>
      <w:pgSz w:w="15840" w:h="12240" w:orient="landscape"/>
      <w:pgMar w:top="792" w:right="792" w:bottom="792" w:left="79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73B11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="Arial" w:cstheme="minorBidi"/>
      <w:sz w:val="20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6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285</Words>
  <Characters>1663</Characters>
  <Lines>0</Lines>
  <Paragraphs>0</Paragraphs>
  <TotalTime>1</TotalTime>
  <ScaleCrop>false</ScaleCrop>
  <LinksUpToDate>false</LinksUpToDate>
  <CharactersWithSpaces>1910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套路暖人心</cp:lastModifiedBy>
  <dcterms:modified xsi:type="dcterms:W3CDTF">2026-04-01T15:57:17Z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eyJoZGlkIjoiYjIyMTRlNmFmNThiOWQ3ZTBkODgzYzdhNGM5MjhhZTUiLCJ1c2VySWQiOiIyNjcyOTY1MDYifQ==</vt:lpwstr>
  </property>
  <property fmtid="{D5CDD505-2E9C-101B-9397-08002B2CF9AE}" pid="3" name="KSOProductBuildVer">
    <vt:lpwstr>2052-12.1.0.25222</vt:lpwstr>
  </property>
  <property fmtid="{D5CDD505-2E9C-101B-9397-08002B2CF9AE}" pid="4" name="ICV">
    <vt:lpwstr>F4656C81B66C4BFE9D10137D106F903D_12</vt:lpwstr>
  </property>
</Properties>
</file>