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A7D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center"/>
        <w:textAlignment w:val="auto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eastAsia="Arial" w:cs="Times New Roman"/>
          <w:b/>
          <w:sz w:val="24"/>
        </w:rPr>
        <w:t>Supplementary Figure Legends</w:t>
      </w:r>
    </w:p>
    <w:bookmarkEnd w:id="0"/>
    <w:p w14:paraId="5EA178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Figure S1. Forest plot of Group B short-term pain score comparing pure periosteal distraction with transverse tibial transport.</w:t>
      </w:r>
    </w:p>
    <w:p w14:paraId="189E78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Figure S2. Forest plot of Group B mid-term pain score comparing pure periosteal distraction with transverse tibial transport.</w:t>
      </w:r>
    </w:p>
    <w:p w14:paraId="3D4C68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Figure S3. Forest plot of Group C short-term toe oxygen comparing PD-containing multimodal regimens with comparator regimens.</w:t>
      </w:r>
    </w:p>
    <w:p w14:paraId="5909CA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Figure S4. Sensitivity analysis for Group C short-term pain after exclusion of Su 2024, the NRS-based study.</w:t>
      </w:r>
    </w:p>
    <w:p w14:paraId="2CC578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Figure S5. Forest plot of Group C wound or ulcer healing time comparing PD-containing multimodal regimens with comparator regimens.</w:t>
      </w:r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3001B14"/>
    <w:rsid w:val="6CAA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558</Characters>
  <Lines>0</Lines>
  <Paragraphs>0</Paragraphs>
  <TotalTime>0</TotalTime>
  <ScaleCrop>false</ScaleCrop>
  <LinksUpToDate>false</LinksUpToDate>
  <CharactersWithSpaces>644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套路暖人心</cp:lastModifiedBy>
  <dcterms:modified xsi:type="dcterms:W3CDTF">2026-04-01T15:43:07Z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eyJoZGlkIjoiYjIyMTRlNmFmNThiOWQ3ZTBkODgzYzdhNGM5MjhhZTUiLCJ1c2VySWQiOiIyNjcyOTY1MDYifQ==</vt:lpwstr>
  </property>
  <property fmtid="{D5CDD505-2E9C-101B-9397-08002B2CF9AE}" pid="3" name="KSOProductBuildVer">
    <vt:lpwstr>2052-12.1.0.25222</vt:lpwstr>
  </property>
  <property fmtid="{D5CDD505-2E9C-101B-9397-08002B2CF9AE}" pid="4" name="ICV">
    <vt:lpwstr>D28E418F03DA45C2B3A231426790A635_12</vt:lpwstr>
  </property>
</Properties>
</file>