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C6A48" w14:textId="746AC93E" w:rsidR="0003690F" w:rsidRPr="002019E1" w:rsidRDefault="00000000" w:rsidP="002019E1">
      <w:pPr>
        <w:pStyle w:val="heading10"/>
        <w:rPr>
          <w:color w:val="000000" w:themeColor="text1"/>
        </w:rPr>
      </w:pPr>
      <w:r w:rsidRPr="002019E1">
        <w:rPr>
          <w:color w:val="000000" w:themeColor="text1"/>
        </w:rPr>
        <w:t>Supplementary Table: Surgical indication, timing of fusion assessment, offloading, and pedorthotic aftercare across included studies</w:t>
      </w:r>
    </w:p>
    <w:tbl>
      <w:tblPr>
        <w:tblW w:w="129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50"/>
        <w:gridCol w:w="3550"/>
        <w:gridCol w:w="2650"/>
        <w:gridCol w:w="2650"/>
        <w:gridCol w:w="2360"/>
      </w:tblGrid>
      <w:tr w:rsidR="0003690F" w14:paraId="4B5ED66C" w14:textId="77777777" w:rsidTr="103E7E7E">
        <w:trPr>
          <w:tblHeader/>
        </w:trPr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A9441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Study (fixation)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8A253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Surgical indication &amp; infection/ulcer status at surgery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6A5886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Timing of radiographic fusion assessment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5DB95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External-fixation duration / offloading (NWB)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D0D349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Pedorthotic aftercare (type)</w:t>
            </w:r>
          </w:p>
        </w:tc>
      </w:tr>
      <w:tr w:rsidR="0003690F" w14:paraId="10B6E206" w14:textId="77777777" w:rsidTr="103E7E7E">
        <w:tc>
          <w:tcPr>
            <w:tcW w:w="129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924D9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Internal fixation (IF)</w:t>
            </w:r>
          </w:p>
        </w:tc>
      </w:tr>
      <w:tr w:rsidR="0003690F" w14:paraId="00138DCF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98CEA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Manchanda et al. 2020</w:t>
            </w:r>
          </w:p>
          <w:p w14:paraId="4232D265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EF352" w14:textId="1D7CD31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Midfoot reconstruction for limb salvage, Sanders-Frykberg II/III</w:t>
            </w:r>
          </w:p>
          <w:p w14:paraId="36ACF466" w14:textId="31FD1958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Not separately stratified. Preoperative wound in a subset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1375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No protocolised timepoint</w:t>
            </w:r>
          </w:p>
          <w:p w14:paraId="508C570B" w14:textId="1BA52316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Assessed at latest follow-up (mean 67.4 weeks; range 3-17 months)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A7375" w14:textId="21907FB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Offloading / NWB (Non-weight bearing) protocol not reported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7B8BD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</w:tr>
      <w:tr w:rsidR="0003690F" w14:paraId="74EF5963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8814B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Mehlhorn et al. 2016</w:t>
            </w:r>
          </w:p>
          <w:p w14:paraId="5CBE5E0F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5F54" w14:textId="20F2B199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Indication: Non-plantigrade foot, high instability, plantar ulcer from deformity, or failed conservative care; Eichenholtz III/late II </w:t>
            </w:r>
          </w:p>
          <w:p w14:paraId="25ACC34E" w14:textId="256233C9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Preoperative ulcer 8/14; callosity 2/14; ulcer-free 4/14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0EA33" w14:textId="349B506D" w:rsidR="0003690F" w:rsidRDefault="00000000" w:rsidP="28ED6A83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Serial radiographs: 2 days, 6/12/16 weeks, 6/12/18/24 months</w:t>
            </w:r>
          </w:p>
          <w:p w14:paraId="27FDFA18" w14:textId="054AA91B" w:rsidR="0003690F" w:rsidRDefault="0003690F" w:rsidP="103E7E7E">
            <w:pPr>
              <w:pStyle w:val="ListParagraph"/>
              <w:ind w:left="200"/>
              <w:rPr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6A618" w14:textId="2742CC09" w:rsidR="0003690F" w:rsidRDefault="00000000" w:rsidP="50AD1EC6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NWB cast 12 weeks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86617" w14:textId="214A28E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Orthopaedic shoes or sports shoes </w:t>
            </w:r>
          </w:p>
        </w:tc>
      </w:tr>
      <w:tr w:rsidR="0003690F" w14:paraId="4BA75C89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0CD1C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Regauer et al. 2023</w:t>
            </w:r>
          </w:p>
          <w:p w14:paraId="1E48C54A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12F95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Sanders 2/3 with severe dislocation</w:t>
            </w:r>
          </w:p>
          <w:p w14:paraId="1768CAC7" w14:textId="42B0E47E" w:rsidR="0003690F" w:rsidRDefault="00000000" w:rsidP="28ED6A83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Infection/ulcer: N/A - infected tissue / open plantar wounds were excluded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52D55" w14:textId="2B33026C" w:rsidR="0003690F" w:rsidRDefault="00000000" w:rsidP="28ED6A83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Radiographic assessment at 6 weeks, 3/6/12 months 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2868B" w14:textId="6D076652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CROW boot offloading for 12 weeks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D76B6" w14:textId="3B00ECC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Custom orthotic shoe with pressure-optimised insoles</w:t>
            </w:r>
          </w:p>
        </w:tc>
      </w:tr>
      <w:tr w:rsidR="0003690F" w14:paraId="384D4EA5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36F64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Richter et al. 2015</w:t>
            </w:r>
          </w:p>
          <w:p w14:paraId="5C5E33DD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9F30C" w14:textId="51FA43C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Indication: Reconstruction for CN/deformity with neuropathy </w:t>
            </w:r>
          </w:p>
          <w:p w14:paraId="72C81139" w14:textId="146BBD30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Active ulcer on treated foot 5/48; remainder ulcer-free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1B97E" w14:textId="337E0099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Radiographic assessment at 6/9/12 weeks</w:t>
            </w:r>
          </w:p>
          <w:p w14:paraId="70589873" w14:textId="74079259" w:rsidR="0003690F" w:rsidRDefault="0003690F" w:rsidP="103E7E7E">
            <w:pPr>
              <w:pStyle w:val="ListParagraph"/>
              <w:ind w:left="200"/>
              <w:rPr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C751B" w14:textId="53FF0913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Immobilisation mean 11.1 weeks (4-18); partial Weight-bearing (15 kg) ≥6 weeks; walking aids mean 12 weeks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BAC08" w14:textId="01359A18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Foot/ankle orthosis 54%, TCC 17%, removable cast walker 15%</w:t>
            </w:r>
          </w:p>
        </w:tc>
      </w:tr>
      <w:tr w:rsidR="0003690F" w14:paraId="119E81F3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9321A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Eschler et al. 2015</w:t>
            </w:r>
          </w:p>
          <w:p w14:paraId="7474D226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92F1A" w14:textId="5C1713A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Non-plantigrade alignment, high instability, manifest/impending ulcer over deformity, failed conservative care; all ≥2 Pinzur high-risk criteria</w:t>
            </w:r>
          </w:p>
          <w:p w14:paraId="4C1DED24" w14:textId="0C3EC2E2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Ulceration 38%, imminent ulceration 43%, ulcer-free 19%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D57A6" w14:textId="29898A53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Monthly until consolidation, then yearly</w:t>
            </w:r>
          </w:p>
          <w:p w14:paraId="72A29E1A" w14:textId="404358F2" w:rsidR="0003690F" w:rsidRDefault="0003690F" w:rsidP="103E7E7E">
            <w:pPr>
              <w:pStyle w:val="ListParagraph"/>
              <w:ind w:left="200"/>
              <w:rPr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C916" w14:textId="35BB3BDE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Splint then TCC; partial Weight Bearing (20 kg) 6-12 weeks; mean casting 2.7 months (1-7)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5836B" w14:textId="2460FA41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Orthopaedic shoes</w:t>
            </w:r>
          </w:p>
        </w:tc>
      </w:tr>
      <w:tr w:rsidR="0003690F" w14:paraId="373D4425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D585C4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Ford et al. 2018</w:t>
            </w:r>
          </w:p>
          <w:p w14:paraId="675782E6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41B9C" w14:textId="4E1349A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Midfoot Charcot collapse ± ulceration</w:t>
            </w:r>
          </w:p>
          <w:p w14:paraId="1B904E61" w14:textId="1F6666D0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Infection/ulcer: </w:t>
            </w:r>
            <w:proofErr w:type="gramStart"/>
            <w:r>
              <w:rPr>
                <w:color w:val="000000"/>
                <w:sz w:val="14"/>
                <w:szCs w:val="14"/>
              </w:rPr>
              <w:t>Pre-operative</w:t>
            </w:r>
            <w:proofErr w:type="gramEnd"/>
            <w:r>
              <w:rPr>
                <w:color w:val="000000"/>
                <w:sz w:val="14"/>
                <w:szCs w:val="14"/>
              </w:rPr>
              <w:t xml:space="preserve"> ulcer in a subset; predicted deep infection (all 6 deep infections in preop-ulcerated feet)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90ED5" w14:textId="3B92A371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No defined timepoint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D1A4E" w14:textId="0B3A80A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B6C29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</w:tr>
      <w:tr w:rsidR="0003690F" w14:paraId="1BB61EAC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4B843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Sammarco et al. 2009</w:t>
            </w:r>
          </w:p>
          <w:p w14:paraId="699A82E1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0B0C" w14:textId="71E83D2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Unstable midfoot deformity (progressive deformity, gross instability, bayonet deformity, recalcitrant ulcer) failing conservative care</w:t>
            </w:r>
          </w:p>
          <w:p w14:paraId="7FFC6B41" w14:textId="3D52FA9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N/A - Ulceration or infection noted as contraindication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C2CB" w14:textId="2169C684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Fusion judged radiographically (4-6 months)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A1E5" w14:textId="1F5EDCEA" w:rsidR="0003690F" w:rsidRDefault="00000000" w:rsidP="50AD1EC6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NWB until radiographic maturation (4-6 months) then graduated Weight Bearing in pneumatic boot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36E3A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Multidensity foam orthosis + accommodative footwear</w:t>
            </w:r>
          </w:p>
        </w:tc>
      </w:tr>
      <w:tr w:rsidR="0003690F" w14:paraId="71E5E8BC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8C29C" w14:textId="647C787F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lastRenderedPageBreak/>
              <w:t>Assal et al. 2009</w:t>
            </w:r>
          </w:p>
          <w:p w14:paraId="4067E999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33E04" w14:textId="2C6818A1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Rocker-bottom midfoot deformity with nonhealing plantar ulcer failing CROW, or unbraceable instability</w:t>
            </w:r>
          </w:p>
          <w:p w14:paraId="72E5F455" w14:textId="49716220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Nonhealing ulcer 13/15; 4 with active infection treated as osteomyelitis, operated only after resolution (6-week organism specific IV antibiotics)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43C75" w14:textId="6911D8C8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Anteroposterior and lateral WB radiographs of the foot made at follow-ups, no defined f/u schedule</w:t>
            </w:r>
          </w:p>
          <w:p w14:paraId="128238D9" w14:textId="706DEF7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Mean F/U 41.5 +/- 12.3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1979" w14:textId="225B9348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Strictly NWB first 4 months then progressive Weight bearing in removable cast (~8 weeks)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DE634" w14:textId="06695FF4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Extra-depth wide toed shoes with moulded inserts; 1 used CROW</w:t>
            </w:r>
          </w:p>
        </w:tc>
      </w:tr>
      <w:tr w:rsidR="0003690F" w14:paraId="3BCA3646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2D027B" w14:textId="613344F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Garchar et al. 2013</w:t>
            </w:r>
          </w:p>
          <w:p w14:paraId="75045AF3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A5EE1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Lisfranc dislocation 2° to CN; chronic ulcers with bony deformity, unstable non-braceable joints, recurrent infected ulcers with bony prominence, acute displaced neuropathic fractures (adequate circulation)</w:t>
            </w:r>
          </w:p>
          <w:p w14:paraId="20C02A15" w14:textId="1106A793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Operated in inactive phase (late stage II / III); preoperative ulcer/infection status not separately stratified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B37B2" w14:textId="1653315E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Serial radiographs every 3 weeks postoperatively</w:t>
            </w:r>
          </w:p>
          <w:p w14:paraId="244C9C9D" w14:textId="0E32C715" w:rsidR="0003690F" w:rsidRDefault="0003690F" w:rsidP="103E7E7E">
            <w:pPr>
              <w:rPr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F82C9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NWB postoperatively per radiographic/clinical appearance</w:t>
            </w:r>
          </w:p>
          <w:p w14:paraId="18C959B7" w14:textId="3F38600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Mean time to ambulation 11.68 weeks (7-20)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C016F" w14:textId="01F590D9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Walking cast or CAM walker for 2-3 months after start of weight bearing</w:t>
            </w:r>
          </w:p>
          <w:p w14:paraId="0136D356" w14:textId="0728F589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 xml:space="preserve">Longer-term pedorthotics </w:t>
            </w:r>
          </w:p>
        </w:tc>
      </w:tr>
      <w:tr w:rsidR="0003690F" w14:paraId="4DBCD791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07B78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Mehlhorn et al. 2020</w:t>
            </w:r>
          </w:p>
          <w:p w14:paraId="47C0E314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7F938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instable Charcot midfoot collapse — non-plantigrade alignment, high instability, impending plantar ulcer from deformity, or increasing pain; Eichenholtz II/III (acute I excluded)</w:t>
            </w:r>
          </w:p>
          <w:p w14:paraId="1099F283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active ulceration 11/40 (25-30%); osteomyelitis not specifically addressed or excluded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589E8" w14:textId="715F31CF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CT at 3 months </w:t>
            </w:r>
          </w:p>
          <w:p w14:paraId="3AB5230E" w14:textId="11EE97C0" w:rsidR="0003690F" w:rsidRDefault="00000000" w:rsidP="1DC1E174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WB radiographs at 3, 4, 6, 12 months; Meary's angle at 3 &amp; 12 months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57235" w14:textId="0457C440" w:rsidR="0003690F" w:rsidRDefault="00000000" w:rsidP="50AD1EC6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NWB cast 12 weeks then gradual full Weight bearing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42F9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</w:tr>
      <w:tr w:rsidR="0003690F" w14:paraId="3E19BFFB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6A647" w14:textId="0A6E35A4" w:rsidR="0003690F" w:rsidRDefault="00000000" w:rsidP="50AD1E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Loveland et al. 2024</w:t>
            </w:r>
          </w:p>
          <w:p w14:paraId="6DF8E106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IF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F4D72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unstable midfoot Charcot deformity; limb salvage / avoid amputation</w:t>
            </w:r>
          </w:p>
          <w:p w14:paraId="267C30FC" w14:textId="6449BB72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Preoperative ulceration 6/30 (20%; 3 plantar medial, 3 plantar lateral); no active infection focus described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3CE06" w14:textId="044023B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CT at 12-16 weeks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F52B8" w14:textId="6DB9C7A0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Postop external fixator 25/30 (or posterior splint 5/30) until fusion; removed 3-4 months</w:t>
            </w:r>
          </w:p>
          <w:p w14:paraId="6B3CE652" w14:textId="3D7B0583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Mean time to braced Weight bearing 18.1 weeks (12-28)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B4C08" w14:textId="1EE25575" w:rsidR="0003690F" w:rsidRDefault="00000000" w:rsidP="1DC1E174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CROW boot up to 1 yr then extra-depth shoe by 1 yr (all patients)</w:t>
            </w:r>
          </w:p>
        </w:tc>
      </w:tr>
      <w:tr w:rsidR="0003690F" w14:paraId="20521E2A" w14:textId="77777777" w:rsidTr="103E7E7E">
        <w:tc>
          <w:tcPr>
            <w:tcW w:w="129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2565F1" w14:textId="77777777" w:rsidR="0003690F" w:rsidRDefault="00000000" w:rsidP="103E7E7E">
            <w:pPr>
              <w:jc w:val="center"/>
              <w:rPr>
                <w:color w:val="1F4E79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External fixation (EF)</w:t>
            </w:r>
          </w:p>
        </w:tc>
      </w:tr>
      <w:tr w:rsidR="0003690F" w14:paraId="5CFC51B5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B7E93" w14:textId="11E70016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Pinzur et al. 2018</w:t>
            </w:r>
          </w:p>
          <w:p w14:paraId="7AB45F34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EF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EEB5D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Indications: (1) nonplantigrade deformity + wound + osteomyelitis; (2) nonplantigrade without infection (to enable shoe wear); (3) unstable 'rocker' deformity with pain</w:t>
            </w:r>
          </w:p>
          <w:p w14:paraId="78726EA3" w14:textId="3D790643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NR however Infection resected when present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C6EDC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Radiographic fusion timepoint not reported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228D8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EF: 3-level static circular frame</w:t>
            </w:r>
          </w:p>
          <w:p w14:paraId="3FB0C60F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Frame duration / NWB period not specified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AEA19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Commercial therapeutic footwear + custom accommodative orthoses; CROW/AFO in poor-outcome subset</w:t>
            </w:r>
          </w:p>
        </w:tc>
      </w:tr>
      <w:tr w:rsidR="0003690F" w14:paraId="01AF10F6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DE2868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Kroin et al. 2018</w:t>
            </w:r>
          </w:p>
          <w:p w14:paraId="604CEC37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EF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ED099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nonplantigrade midtarsal CN deformity, no tibiotalar disruption</w:t>
            </w:r>
          </w:p>
          <w:p w14:paraId="5F5EA85E" w14:textId="27D5E2EA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Not stratified however osteomyelitis resected when present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2DDDB" w14:textId="42DE8BF5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25BA5" w14:textId="4F25675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EF: 3-level static circular frame for 12 weeks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1A020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Commercial therapeutic footwear; short AFO / custom shoe modification / CROW in some</w:t>
            </w:r>
          </w:p>
        </w:tc>
      </w:tr>
      <w:tr w:rsidR="0003690F" w14:paraId="523B0E9C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2CA334" w14:textId="421FEB02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Matsumoto at el. 2015</w:t>
            </w:r>
          </w:p>
          <w:p w14:paraId="061E8655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EF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3270" w14:textId="755157B1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Progressive deformity with instability failing TCC, or rigid deformity with recurrent plantar ulcer unresponsive to orthoses</w:t>
            </w:r>
          </w:p>
          <w:p w14:paraId="15881F2F" w14:textId="1DEB8094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Infection/ulcer: Chronically infected ulcers 3/10 (Wagner 1-2); infections excluded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A848C" w14:textId="3D7386D5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Radiographic fusion timepoint not reported</w:t>
            </w:r>
          </w:p>
          <w:p w14:paraId="6CC303E6" w14:textId="4A0D3CFE" w:rsidR="0003690F" w:rsidRDefault="0003690F" w:rsidP="103E7E7E">
            <w:pPr>
              <w:pStyle w:val="ListParagraph"/>
              <w:ind w:left="200"/>
              <w:rPr>
                <w:sz w:val="16"/>
                <w:szCs w:val="16"/>
              </w:rPr>
            </w:pPr>
          </w:p>
          <w:p w14:paraId="50C59266" w14:textId="37E21DC5" w:rsidR="0003690F" w:rsidRDefault="0003690F" w:rsidP="103E7E7E">
            <w:pPr>
              <w:rPr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856F" w14:textId="2C6BFFB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EF: MAC monolateral fixator removed mean 8.7 weeks (5-14)</w:t>
            </w:r>
          </w:p>
          <w:p w14:paraId="135E6ADA" w14:textId="4BA495A8" w:rsidR="0003690F" w:rsidRDefault="00000000" w:rsidP="1DC1E174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 xml:space="preserve">Then NWB TCC mean 14.3 weeks; WB in TCC mean 20.9 weeks; diabetic shoe </w:t>
            </w:r>
            <w:proofErr w:type="gramStart"/>
            <w:r>
              <w:rPr>
                <w:color w:val="000000"/>
                <w:sz w:val="14"/>
                <w:szCs w:val="14"/>
              </w:rPr>
              <w:t>mean</w:t>
            </w:r>
            <w:proofErr w:type="gramEnd"/>
            <w:r>
              <w:rPr>
                <w:color w:val="000000"/>
                <w:sz w:val="14"/>
                <w:szCs w:val="14"/>
              </w:rPr>
              <w:t xml:space="preserve"> 25.2 weeks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7A1FF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Custom diabetic shoes + insoles (10/11 feet); commercial shoes (1)</w:t>
            </w:r>
          </w:p>
        </w:tc>
      </w:tr>
      <w:tr w:rsidR="0003690F" w14:paraId="0088AC2F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805C0" w14:textId="294D7F40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Pinzur et al. 2007</w:t>
            </w:r>
          </w:p>
          <w:p w14:paraId="0D674B8F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EF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3EA30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Eichenholtz II/III nonplantigrade midfoot deformity, high-risk (morbidly obese / immunocompromised)</w:t>
            </w:r>
          </w:p>
          <w:p w14:paraId="5C209A13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14/26 wounds &gt;2 cm with underlying osteomyelitis; infected bone excised intraoperatively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89BFF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Radiographic fusion timepoint not reported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0C451" w14:textId="4A9CDB64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EF: neutral 3-level ring fixator; removed 8 weeks → WB TCC 4-6 weeks → pneumatic fracture boot</w:t>
            </w:r>
          </w:p>
          <w:p w14:paraId="7C90427E" w14:textId="790F035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30 lb WB permitted during fixation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35E25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Commercial depth-inlay shoes + custom accommodative foot orthoses</w:t>
            </w:r>
          </w:p>
        </w:tc>
      </w:tr>
      <w:tr w:rsidR="0003690F" w14:paraId="75A55182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4813AF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Rios Ruh et al. 2019</w:t>
            </w:r>
          </w:p>
          <w:p w14:paraId="6F732CC0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EF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8BBFB" w14:textId="7AF03C2D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Indication: Deformity with ulcer, </w:t>
            </w:r>
            <w:proofErr w:type="gramStart"/>
            <w:r>
              <w:rPr>
                <w:color w:val="000000"/>
                <w:sz w:val="14"/>
                <w:szCs w:val="14"/>
              </w:rPr>
              <w:t>osteomyelitis</w:t>
            </w:r>
            <w:proofErr w:type="gramEnd"/>
            <w:r>
              <w:rPr>
                <w:color w:val="000000"/>
                <w:sz w:val="14"/>
                <w:szCs w:val="14"/>
              </w:rPr>
              <w:t xml:space="preserve"> or instability; peripheral neuropathy; failed orthopaedic care (TCC, orthopaedic boots, insoles); all Eichenholtz III</w:t>
            </w:r>
          </w:p>
          <w:p w14:paraId="5B07B353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8/10 cutaneous ulcers (6 lateral plantar, 2 lateral malleolus) with suspected osteomyelitis; 2/10 unstable, high ulcer risk; intraoperative osteomyelitis confirmed 7/10 (70%)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BB64C" w14:textId="2FD8636F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No standardised radiographic timepoint</w:t>
            </w:r>
          </w:p>
          <w:p w14:paraId="712E6E62" w14:textId="19E0BCBA" w:rsidR="0003690F" w:rsidRDefault="0003690F" w:rsidP="103E7E7E">
            <w:pPr>
              <w:pStyle w:val="ListParagraph"/>
              <w:ind w:left="200"/>
              <w:rPr>
                <w:sz w:val="16"/>
                <w:szCs w:val="16"/>
              </w:rPr>
            </w:pP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A5F31" w14:textId="76A4B9BA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EF: Static circular fixator (DOR System), 2 rings + foot base</w:t>
            </w:r>
          </w:p>
          <w:p w14:paraId="10A1CEB9" w14:textId="26E5B37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Partial WB - 50% with crutches at 48-72 h; frame removed mean 12 weeks (8-14)</w:t>
            </w:r>
          </w:p>
          <w:p w14:paraId="037D529A" w14:textId="735BC681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Then TCC 4 weeks → walker boot → adapted diabetic footwear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37451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TCC → walker boot → custom diabetic footwear once swelling resolved</w:t>
            </w:r>
          </w:p>
        </w:tc>
      </w:tr>
      <w:tr w:rsidR="0003690F" w14:paraId="7F1E7186" w14:textId="77777777" w:rsidTr="103E7E7E"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A81DF2" w14:textId="77777777" w:rsidR="0003690F" w:rsidRDefault="00000000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Farber et al. 2002</w:t>
            </w:r>
          </w:p>
          <w:p w14:paraId="51E1B5F3" w14:textId="77777777" w:rsidR="0003690F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EF</w:t>
            </w:r>
          </w:p>
        </w:tc>
        <w:tc>
          <w:tcPr>
            <w:tcW w:w="3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BA71" w14:textId="51C04393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Indication: Midfoot CN with collapse and ulceration, at risk of amputation; infection precluding internal fixation; failed nonoperative care (wound care, TCC, antibiotics)</w:t>
            </w:r>
          </w:p>
          <w:p w14:paraId="38B8ED01" w14:textId="48A490F5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Infection/ulcer: All ulcerated (Wagner 2-3 typical); osteomyelitis - 4/11 definitive on histology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7C7AE" w14:textId="24AEFDAC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 xml:space="preserve">Radiograph on follow-up </w:t>
            </w:r>
          </w:p>
          <w:p w14:paraId="03F5E2F8" w14:textId="3DFD2F1B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Follow-up mean 24 months (12-49)</w:t>
            </w:r>
          </w:p>
        </w:tc>
        <w:tc>
          <w:tcPr>
            <w:tcW w:w="2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FC474" w14:textId="0AAB73E6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EF: External skeletal fixator, mean 57 days (12-113; ~8 weeks); WB minimised during fixation</w:t>
            </w:r>
          </w:p>
          <w:p w14:paraId="0AF2B496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Then TCC mean 131 days (52-271) → WB as tolerated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B1623" w14:textId="77777777" w:rsidR="0003690F" w:rsidRDefault="00000000" w:rsidP="103E7E7E">
            <w:pPr>
              <w:pStyle w:val="ListParagraph"/>
              <w:numPr>
                <w:ilvl w:val="0"/>
                <w:numId w:val="2"/>
              </w:numPr>
              <w:rPr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Custom moulded inserts + custom diabetic shoes ± patellar-tendon-bearing brace; no CROW used</w:t>
            </w:r>
          </w:p>
        </w:tc>
      </w:tr>
    </w:tbl>
    <w:p w14:paraId="11D8FF93" w14:textId="77777777" w:rsidR="0003690F" w:rsidRDefault="00000000">
      <w:pPr>
        <w:spacing w:before="160"/>
      </w:pPr>
      <w:r>
        <w:rPr>
          <w:i/>
          <w:iCs/>
          <w:sz w:val="16"/>
          <w:szCs w:val="16"/>
        </w:rPr>
        <w:t>NR, not reported; CN, Charcot neuroarthropathy; IF, internal fixation; EF, external fixation; IM, intramedullary; NWB, non-weight-bearing; WB, weight-bearing; TCC, total contact cast; CROW, Charcot restraint orthotic walker; AFO, ankle-foot orthosis; ATL, Achilles tendon lengthening; TAL, tendo-Achilles lengthening; CAM, controlled ankle motion; MAC, multi-axial correction; DOR, distraction osteogenesis ring; CLI, critical limb ischaemia; CT, computed tomography.</w:t>
      </w:r>
    </w:p>
    <w:sectPr w:rsidR="0003690F">
      <w:pgSz w:w="15840" w:h="12240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8EbwsCibeQgtT" int2:id="gzs0JHxN">
      <int2:state int2:value="Rejected" int2:type="spell"/>
    </int2:textHash>
    <int2:textHash int2:hashCode="RPwnlgQF8FaE00" int2:id="iq1tTSGY">
      <int2:state int2:value="Rejected" int2:type="spell"/>
    </int2:textHash>
    <int2:textHash int2:hashCode="tYg+H6vivt+rAq" int2:id="TM6hieBK">
      <int2:state int2:value="Rejected" int2:type="spell"/>
    </int2:textHash>
    <int2:textHash int2:hashCode="TMlTYX76ljcfsx" int2:id="OMwpeHBd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3FF29"/>
    <w:multiLevelType w:val="hybridMultilevel"/>
    <w:tmpl w:val="0FDE188C"/>
    <w:lvl w:ilvl="0" w:tplc="276E132A">
      <w:start w:val="1"/>
      <w:numFmt w:val="bullet"/>
      <w:lvlText w:val="●"/>
      <w:lvlJc w:val="left"/>
      <w:pPr>
        <w:ind w:left="720" w:hanging="360"/>
      </w:pPr>
    </w:lvl>
    <w:lvl w:ilvl="1" w:tplc="8BD25764">
      <w:start w:val="1"/>
      <w:numFmt w:val="bullet"/>
      <w:lvlText w:val="○"/>
      <w:lvlJc w:val="left"/>
      <w:pPr>
        <w:ind w:left="1440" w:hanging="360"/>
      </w:pPr>
    </w:lvl>
    <w:lvl w:ilvl="2" w:tplc="2D58E5C2">
      <w:start w:val="1"/>
      <w:numFmt w:val="bullet"/>
      <w:lvlText w:val="■"/>
      <w:lvlJc w:val="left"/>
      <w:pPr>
        <w:ind w:left="2160" w:hanging="360"/>
      </w:pPr>
    </w:lvl>
    <w:lvl w:ilvl="3" w:tplc="DF123496">
      <w:start w:val="1"/>
      <w:numFmt w:val="bullet"/>
      <w:lvlText w:val="●"/>
      <w:lvlJc w:val="left"/>
      <w:pPr>
        <w:ind w:left="2880" w:hanging="360"/>
      </w:pPr>
    </w:lvl>
    <w:lvl w:ilvl="4" w:tplc="DCD67690">
      <w:start w:val="1"/>
      <w:numFmt w:val="bullet"/>
      <w:lvlText w:val="○"/>
      <w:lvlJc w:val="left"/>
      <w:pPr>
        <w:ind w:left="3600" w:hanging="360"/>
      </w:pPr>
    </w:lvl>
    <w:lvl w:ilvl="5" w:tplc="E8549EC0">
      <w:start w:val="1"/>
      <w:numFmt w:val="bullet"/>
      <w:lvlText w:val="■"/>
      <w:lvlJc w:val="left"/>
      <w:pPr>
        <w:ind w:left="4320" w:hanging="360"/>
      </w:pPr>
    </w:lvl>
    <w:lvl w:ilvl="6" w:tplc="92C650E2">
      <w:start w:val="1"/>
      <w:numFmt w:val="bullet"/>
      <w:lvlText w:val="●"/>
      <w:lvlJc w:val="left"/>
      <w:pPr>
        <w:ind w:left="5040" w:hanging="360"/>
      </w:pPr>
    </w:lvl>
    <w:lvl w:ilvl="7" w:tplc="7D4C6B0C">
      <w:start w:val="1"/>
      <w:numFmt w:val="bullet"/>
      <w:lvlText w:val="●"/>
      <w:lvlJc w:val="left"/>
      <w:pPr>
        <w:ind w:left="5760" w:hanging="360"/>
      </w:pPr>
    </w:lvl>
    <w:lvl w:ilvl="8" w:tplc="1C28AD5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5AFA0EA"/>
    <w:multiLevelType w:val="hybridMultilevel"/>
    <w:tmpl w:val="A896F5D8"/>
    <w:lvl w:ilvl="0" w:tplc="11426F84">
      <w:start w:val="1"/>
      <w:numFmt w:val="bullet"/>
      <w:lvlText w:val="•"/>
      <w:lvlJc w:val="left"/>
      <w:pPr>
        <w:ind w:left="200" w:hanging="160"/>
      </w:pPr>
    </w:lvl>
    <w:lvl w:ilvl="1" w:tplc="93DCFD36">
      <w:numFmt w:val="decimal"/>
      <w:lvlText w:val=""/>
      <w:lvlJc w:val="left"/>
    </w:lvl>
    <w:lvl w:ilvl="2" w:tplc="C9182F9C">
      <w:numFmt w:val="decimal"/>
      <w:lvlText w:val=""/>
      <w:lvlJc w:val="left"/>
    </w:lvl>
    <w:lvl w:ilvl="3" w:tplc="DD883ED4">
      <w:numFmt w:val="decimal"/>
      <w:lvlText w:val=""/>
      <w:lvlJc w:val="left"/>
    </w:lvl>
    <w:lvl w:ilvl="4" w:tplc="C5EEDAF0">
      <w:numFmt w:val="decimal"/>
      <w:lvlText w:val=""/>
      <w:lvlJc w:val="left"/>
    </w:lvl>
    <w:lvl w:ilvl="5" w:tplc="CCA6965A">
      <w:numFmt w:val="decimal"/>
      <w:lvlText w:val=""/>
      <w:lvlJc w:val="left"/>
    </w:lvl>
    <w:lvl w:ilvl="6" w:tplc="9AD6B23A">
      <w:numFmt w:val="decimal"/>
      <w:lvlText w:val=""/>
      <w:lvlJc w:val="left"/>
    </w:lvl>
    <w:lvl w:ilvl="7" w:tplc="0B8EB610">
      <w:numFmt w:val="decimal"/>
      <w:lvlText w:val=""/>
      <w:lvlJc w:val="left"/>
    </w:lvl>
    <w:lvl w:ilvl="8" w:tplc="05225602">
      <w:numFmt w:val="decimal"/>
      <w:lvlText w:val=""/>
      <w:lvlJc w:val="left"/>
    </w:lvl>
  </w:abstractNum>
  <w:num w:numId="1" w16cid:durableId="279728957">
    <w:abstractNumId w:val="0"/>
    <w:lvlOverride w:ilvl="0">
      <w:startOverride w:val="1"/>
    </w:lvlOverride>
  </w:num>
  <w:num w:numId="2" w16cid:durableId="36899458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C54C69"/>
    <w:rsid w:val="0003690F"/>
    <w:rsid w:val="002019E1"/>
    <w:rsid w:val="00A56003"/>
    <w:rsid w:val="011CC89C"/>
    <w:rsid w:val="018D3F09"/>
    <w:rsid w:val="01E8E7C0"/>
    <w:rsid w:val="0256EF8A"/>
    <w:rsid w:val="0293BBD7"/>
    <w:rsid w:val="02A9CA42"/>
    <w:rsid w:val="034DAF84"/>
    <w:rsid w:val="0354AB83"/>
    <w:rsid w:val="03574EAE"/>
    <w:rsid w:val="04CBDB93"/>
    <w:rsid w:val="050D4E2F"/>
    <w:rsid w:val="05AA5476"/>
    <w:rsid w:val="068F1B9C"/>
    <w:rsid w:val="06C54C69"/>
    <w:rsid w:val="06DA486F"/>
    <w:rsid w:val="077DCE36"/>
    <w:rsid w:val="07FC9267"/>
    <w:rsid w:val="087D054B"/>
    <w:rsid w:val="08C8FDD2"/>
    <w:rsid w:val="08CC1045"/>
    <w:rsid w:val="0911ED48"/>
    <w:rsid w:val="097C842F"/>
    <w:rsid w:val="09E72F77"/>
    <w:rsid w:val="0A1D9C8A"/>
    <w:rsid w:val="0A735A6D"/>
    <w:rsid w:val="0B9BDD77"/>
    <w:rsid w:val="0BB27020"/>
    <w:rsid w:val="0BD27772"/>
    <w:rsid w:val="0C2C023D"/>
    <w:rsid w:val="0C4BE08A"/>
    <w:rsid w:val="0C4C0952"/>
    <w:rsid w:val="0C5ABD0C"/>
    <w:rsid w:val="0CCAAF2D"/>
    <w:rsid w:val="0D4ACF71"/>
    <w:rsid w:val="0E1BBFC8"/>
    <w:rsid w:val="0E3ED678"/>
    <w:rsid w:val="0E468999"/>
    <w:rsid w:val="0E80394D"/>
    <w:rsid w:val="0EA1CCD3"/>
    <w:rsid w:val="0EBCA183"/>
    <w:rsid w:val="0EEC8F36"/>
    <w:rsid w:val="0F6F6C02"/>
    <w:rsid w:val="0FAAB582"/>
    <w:rsid w:val="0FB60FCB"/>
    <w:rsid w:val="0FBCB1BC"/>
    <w:rsid w:val="0FD5A5E3"/>
    <w:rsid w:val="1018A3D2"/>
    <w:rsid w:val="103B870C"/>
    <w:rsid w:val="103E7E7E"/>
    <w:rsid w:val="11580C64"/>
    <w:rsid w:val="1270C8CE"/>
    <w:rsid w:val="128260EB"/>
    <w:rsid w:val="12FF5922"/>
    <w:rsid w:val="13081E8D"/>
    <w:rsid w:val="13FC16C0"/>
    <w:rsid w:val="141803A7"/>
    <w:rsid w:val="1480143A"/>
    <w:rsid w:val="14F91EA7"/>
    <w:rsid w:val="160F1320"/>
    <w:rsid w:val="165CB337"/>
    <w:rsid w:val="166C4C42"/>
    <w:rsid w:val="1785CB12"/>
    <w:rsid w:val="183820CF"/>
    <w:rsid w:val="18708DE3"/>
    <w:rsid w:val="19E7FBE9"/>
    <w:rsid w:val="19E95E85"/>
    <w:rsid w:val="1A187342"/>
    <w:rsid w:val="1A4414DC"/>
    <w:rsid w:val="1A6C434C"/>
    <w:rsid w:val="1AB414CC"/>
    <w:rsid w:val="1B105CD7"/>
    <w:rsid w:val="1B26B8E5"/>
    <w:rsid w:val="1C39615A"/>
    <w:rsid w:val="1CDEE8A5"/>
    <w:rsid w:val="1CFFB154"/>
    <w:rsid w:val="1D5003D2"/>
    <w:rsid w:val="1DC1E174"/>
    <w:rsid w:val="1E26D5D4"/>
    <w:rsid w:val="1E7C62B2"/>
    <w:rsid w:val="1ED2BBF1"/>
    <w:rsid w:val="1F66BEA1"/>
    <w:rsid w:val="1F999262"/>
    <w:rsid w:val="20005841"/>
    <w:rsid w:val="20349BB0"/>
    <w:rsid w:val="21093369"/>
    <w:rsid w:val="21535068"/>
    <w:rsid w:val="21D19EB2"/>
    <w:rsid w:val="220368F5"/>
    <w:rsid w:val="2291FAC1"/>
    <w:rsid w:val="22ECF03C"/>
    <w:rsid w:val="232326B3"/>
    <w:rsid w:val="23EFA1DC"/>
    <w:rsid w:val="244F4BB8"/>
    <w:rsid w:val="249A4936"/>
    <w:rsid w:val="2612DE21"/>
    <w:rsid w:val="26664BEB"/>
    <w:rsid w:val="26CE271C"/>
    <w:rsid w:val="27F4AE6D"/>
    <w:rsid w:val="285233E0"/>
    <w:rsid w:val="285C5124"/>
    <w:rsid w:val="286D18FE"/>
    <w:rsid w:val="28ED6A83"/>
    <w:rsid w:val="29BBCC0C"/>
    <w:rsid w:val="29CCDF99"/>
    <w:rsid w:val="2A04A4CE"/>
    <w:rsid w:val="2A38D36F"/>
    <w:rsid w:val="2AC0A371"/>
    <w:rsid w:val="2B5B91CB"/>
    <w:rsid w:val="2C286B8D"/>
    <w:rsid w:val="2CE2EA29"/>
    <w:rsid w:val="2D08CBBA"/>
    <w:rsid w:val="2D87E021"/>
    <w:rsid w:val="2E144392"/>
    <w:rsid w:val="2E24E205"/>
    <w:rsid w:val="2F540539"/>
    <w:rsid w:val="2FA1C3D3"/>
    <w:rsid w:val="2FC00D5D"/>
    <w:rsid w:val="2FD9BC1B"/>
    <w:rsid w:val="307134C2"/>
    <w:rsid w:val="307542D4"/>
    <w:rsid w:val="30BA8C43"/>
    <w:rsid w:val="30EB85D9"/>
    <w:rsid w:val="3215DEF7"/>
    <w:rsid w:val="3288E920"/>
    <w:rsid w:val="3364B3F4"/>
    <w:rsid w:val="34585FEC"/>
    <w:rsid w:val="34D4271C"/>
    <w:rsid w:val="35AB15BA"/>
    <w:rsid w:val="35F3EB36"/>
    <w:rsid w:val="363D5571"/>
    <w:rsid w:val="3687C3D9"/>
    <w:rsid w:val="3748782D"/>
    <w:rsid w:val="37C3EFE8"/>
    <w:rsid w:val="38092EE1"/>
    <w:rsid w:val="386ADEA4"/>
    <w:rsid w:val="39A193F9"/>
    <w:rsid w:val="3A7FF941"/>
    <w:rsid w:val="3A93A1CD"/>
    <w:rsid w:val="3AD5B7AC"/>
    <w:rsid w:val="3AEEA7E0"/>
    <w:rsid w:val="3B7C789F"/>
    <w:rsid w:val="3CB5F7F2"/>
    <w:rsid w:val="3D010584"/>
    <w:rsid w:val="3DE8FE5E"/>
    <w:rsid w:val="3E27289B"/>
    <w:rsid w:val="3E382A4A"/>
    <w:rsid w:val="3E7019B8"/>
    <w:rsid w:val="3F2552E3"/>
    <w:rsid w:val="3F5C721E"/>
    <w:rsid w:val="3F84AE75"/>
    <w:rsid w:val="3FCA277C"/>
    <w:rsid w:val="3FF82F09"/>
    <w:rsid w:val="40C27501"/>
    <w:rsid w:val="40F5C51A"/>
    <w:rsid w:val="410DE1E4"/>
    <w:rsid w:val="4162E930"/>
    <w:rsid w:val="425B2B84"/>
    <w:rsid w:val="4274B0FA"/>
    <w:rsid w:val="42A7EECF"/>
    <w:rsid w:val="42E07382"/>
    <w:rsid w:val="4407A400"/>
    <w:rsid w:val="4441B333"/>
    <w:rsid w:val="44467FC7"/>
    <w:rsid w:val="446CF8A0"/>
    <w:rsid w:val="44BEDAF9"/>
    <w:rsid w:val="44DD6526"/>
    <w:rsid w:val="4547168B"/>
    <w:rsid w:val="4564F6F1"/>
    <w:rsid w:val="459F7F04"/>
    <w:rsid w:val="45CD7568"/>
    <w:rsid w:val="45D8A21F"/>
    <w:rsid w:val="46353871"/>
    <w:rsid w:val="4666DCD0"/>
    <w:rsid w:val="46F2750F"/>
    <w:rsid w:val="470824D8"/>
    <w:rsid w:val="473CABBA"/>
    <w:rsid w:val="475EECCE"/>
    <w:rsid w:val="47FD6517"/>
    <w:rsid w:val="48ECD0C9"/>
    <w:rsid w:val="48F8CA59"/>
    <w:rsid w:val="49578A79"/>
    <w:rsid w:val="49BBAAE1"/>
    <w:rsid w:val="49CA97EE"/>
    <w:rsid w:val="4A2C736E"/>
    <w:rsid w:val="4AD32AB1"/>
    <w:rsid w:val="4B479D8F"/>
    <w:rsid w:val="4BB2D731"/>
    <w:rsid w:val="4C3718BE"/>
    <w:rsid w:val="4C6854C9"/>
    <w:rsid w:val="4D262489"/>
    <w:rsid w:val="4D9B3CC4"/>
    <w:rsid w:val="4E432AE0"/>
    <w:rsid w:val="4E52EDF9"/>
    <w:rsid w:val="4F5E9695"/>
    <w:rsid w:val="4F9B3BBD"/>
    <w:rsid w:val="50618376"/>
    <w:rsid w:val="507448A7"/>
    <w:rsid w:val="50AD1EC6"/>
    <w:rsid w:val="51317FA1"/>
    <w:rsid w:val="51E16CAB"/>
    <w:rsid w:val="52123657"/>
    <w:rsid w:val="5212F044"/>
    <w:rsid w:val="52728497"/>
    <w:rsid w:val="52E9AF86"/>
    <w:rsid w:val="52F6AD18"/>
    <w:rsid w:val="53113E1A"/>
    <w:rsid w:val="53CFB5C4"/>
    <w:rsid w:val="53F99E67"/>
    <w:rsid w:val="54CA6FE1"/>
    <w:rsid w:val="54F2D699"/>
    <w:rsid w:val="54F88C2B"/>
    <w:rsid w:val="553B70F7"/>
    <w:rsid w:val="55862FED"/>
    <w:rsid w:val="55A6E5E3"/>
    <w:rsid w:val="55FCF645"/>
    <w:rsid w:val="5732F2F6"/>
    <w:rsid w:val="57DE68EA"/>
    <w:rsid w:val="5836DE2C"/>
    <w:rsid w:val="586B27F5"/>
    <w:rsid w:val="58F9B95C"/>
    <w:rsid w:val="59053890"/>
    <w:rsid w:val="59415E4A"/>
    <w:rsid w:val="599A8BF4"/>
    <w:rsid w:val="59B43963"/>
    <w:rsid w:val="59F25A72"/>
    <w:rsid w:val="5A0AF1AA"/>
    <w:rsid w:val="5B49C958"/>
    <w:rsid w:val="5B4E9B74"/>
    <w:rsid w:val="5BF2DC1E"/>
    <w:rsid w:val="5C4DB906"/>
    <w:rsid w:val="5C64C137"/>
    <w:rsid w:val="5D151E05"/>
    <w:rsid w:val="5D7C666F"/>
    <w:rsid w:val="5DF2F08E"/>
    <w:rsid w:val="5E29833B"/>
    <w:rsid w:val="5E54B488"/>
    <w:rsid w:val="5EBEB651"/>
    <w:rsid w:val="5F24546B"/>
    <w:rsid w:val="5F537F4A"/>
    <w:rsid w:val="5FB1D09B"/>
    <w:rsid w:val="6068B8D1"/>
    <w:rsid w:val="60798BB1"/>
    <w:rsid w:val="61967AC7"/>
    <w:rsid w:val="6202E037"/>
    <w:rsid w:val="6277629D"/>
    <w:rsid w:val="62907EDF"/>
    <w:rsid w:val="63198958"/>
    <w:rsid w:val="635C8E4B"/>
    <w:rsid w:val="642479F6"/>
    <w:rsid w:val="64534A4C"/>
    <w:rsid w:val="6487DBCA"/>
    <w:rsid w:val="64D51361"/>
    <w:rsid w:val="65F1E1C7"/>
    <w:rsid w:val="66708773"/>
    <w:rsid w:val="668AFDA9"/>
    <w:rsid w:val="66964313"/>
    <w:rsid w:val="672AA0DD"/>
    <w:rsid w:val="67F23059"/>
    <w:rsid w:val="6813DDEB"/>
    <w:rsid w:val="68A90664"/>
    <w:rsid w:val="69E64401"/>
    <w:rsid w:val="6A1CD2DF"/>
    <w:rsid w:val="6ABFED1C"/>
    <w:rsid w:val="6B247914"/>
    <w:rsid w:val="6BFFE25F"/>
    <w:rsid w:val="6C6E39A1"/>
    <w:rsid w:val="6C70623B"/>
    <w:rsid w:val="6C898FB6"/>
    <w:rsid w:val="6E3CB795"/>
    <w:rsid w:val="6EFD1FD8"/>
    <w:rsid w:val="6F8233CE"/>
    <w:rsid w:val="700F10D8"/>
    <w:rsid w:val="7052762B"/>
    <w:rsid w:val="70E679BE"/>
    <w:rsid w:val="7172DC92"/>
    <w:rsid w:val="718A5B69"/>
    <w:rsid w:val="72C0A901"/>
    <w:rsid w:val="72C77C96"/>
    <w:rsid w:val="72CD3D7C"/>
    <w:rsid w:val="72D64668"/>
    <w:rsid w:val="730FC7B4"/>
    <w:rsid w:val="732AF301"/>
    <w:rsid w:val="73A14902"/>
    <w:rsid w:val="74BA57BC"/>
    <w:rsid w:val="751DC099"/>
    <w:rsid w:val="75D222B0"/>
    <w:rsid w:val="75F143D2"/>
    <w:rsid w:val="76385CD2"/>
    <w:rsid w:val="76D7AEA4"/>
    <w:rsid w:val="77548E0C"/>
    <w:rsid w:val="7756EAF7"/>
    <w:rsid w:val="78953753"/>
    <w:rsid w:val="78AA4AE7"/>
    <w:rsid w:val="7974BAFC"/>
    <w:rsid w:val="79D22B89"/>
    <w:rsid w:val="7ABA2A53"/>
    <w:rsid w:val="7B43EF24"/>
    <w:rsid w:val="7BEDEC7C"/>
    <w:rsid w:val="7C08E6DF"/>
    <w:rsid w:val="7D005440"/>
    <w:rsid w:val="7D97EBC1"/>
    <w:rsid w:val="7D98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BD30C0"/>
  <w15:docId w15:val="{0F80ACF8-C947-45F5-8CD3-23576B62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50AD1EC6"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basedOn w:val="Normal"/>
    <w:next w:val="Normal"/>
    <w:qFormat/>
    <w:pPr>
      <w:spacing w:before="120" w:after="160"/>
      <w:outlineLvl w:val="0"/>
    </w:pPr>
    <w:rPr>
      <w:b/>
      <w:bCs/>
      <w:color w:val="1F4E79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1251</Words>
  <Characters>7134</Characters>
  <Application>Microsoft Office Word</Application>
  <DocSecurity>0</DocSecurity>
  <Lines>59</Lines>
  <Paragraphs>16</Paragraphs>
  <ScaleCrop>false</ScaleCrop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Karthik Chinnaswamy</cp:lastModifiedBy>
  <cp:revision>7</cp:revision>
  <dcterms:created xsi:type="dcterms:W3CDTF">2026-06-17T20:36:00Z</dcterms:created>
  <dcterms:modified xsi:type="dcterms:W3CDTF">2026-06-25T19:53:00Z</dcterms:modified>
</cp:coreProperties>
</file>