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5AC89">
      <w:pPr>
        <w:spacing w:before="0" w:after="120" w:line="360" w:lineRule="auto"/>
        <w:jc w:val="center"/>
        <w:rPr>
          <w:rFonts w:hint="default" w:ascii="Times New Roman" w:hAnsi="Times New Roman" w:cs="Times New Roman"/>
          <w:b w:val="0"/>
          <w:bCs w:val="0"/>
          <w:i w:val="0"/>
          <w:iCs w:val="0"/>
          <w:sz w:val="24"/>
          <w:szCs w:val="24"/>
        </w:rPr>
      </w:pPr>
      <w:r>
        <w:rPr>
          <w:rFonts w:hint="default" w:ascii="Times New Roman" w:hAnsi="Times New Roman" w:eastAsia="Arial" w:cs="Times New Roman"/>
          <w:b/>
          <w:bCs/>
          <w:i w:val="0"/>
          <w:iCs w:val="0"/>
          <w:sz w:val="24"/>
          <w:szCs w:val="24"/>
        </w:rPr>
        <w:t xml:space="preserve">Supplementary Table </w:t>
      </w:r>
      <w:r>
        <w:rPr>
          <w:rFonts w:hint="eastAsia" w:ascii="Times New Roman" w:hAnsi="Times New Roman" w:eastAsia="宋体" w:cs="Times New Roman"/>
          <w:b/>
          <w:bCs/>
          <w:i w:val="0"/>
          <w:iCs w:val="0"/>
          <w:sz w:val="24"/>
          <w:szCs w:val="24"/>
          <w:lang w:val="en-US" w:eastAsia="zh-CN"/>
        </w:rPr>
        <w:t>1</w:t>
      </w:r>
      <w:r>
        <w:rPr>
          <w:rFonts w:hint="default" w:ascii="Times New Roman" w:hAnsi="Times New Roman" w:eastAsia="Arial" w:cs="Times New Roman"/>
          <w:b/>
          <w:bCs/>
          <w:i w:val="0"/>
          <w:iCs w:val="0"/>
          <w:sz w:val="24"/>
          <w:szCs w:val="24"/>
        </w:rPr>
        <w:t>.</w:t>
      </w:r>
      <w:r>
        <w:rPr>
          <w:rFonts w:hint="default" w:ascii="Times New Roman" w:hAnsi="Times New Roman" w:eastAsia="Arial" w:cs="Times New Roman"/>
          <w:b w:val="0"/>
          <w:bCs w:val="0"/>
          <w:i w:val="0"/>
          <w:iCs w:val="0"/>
          <w:sz w:val="24"/>
          <w:szCs w:val="24"/>
        </w:rPr>
        <w:t>PRISMA NMA Checklist of Items to Include When Reporting A Systematic Review Involving a Network Meta-analysis</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13"/>
        <w:gridCol w:w="640"/>
        <w:gridCol w:w="10128"/>
        <w:gridCol w:w="1437"/>
      </w:tblGrid>
      <w:tr w14:paraId="4D0B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678" w:type="pct"/>
            <w:tcBorders>
              <w:top w:val="single" w:color="auto" w:sz="4" w:space="0"/>
              <w:left w:val="nil"/>
              <w:bottom w:val="single" w:color="auto" w:sz="4" w:space="0"/>
              <w:right w:val="nil"/>
            </w:tcBorders>
            <w:tcMar>
              <w:top w:w="60" w:type="dxa"/>
              <w:left w:w="80" w:type="dxa"/>
              <w:bottom w:w="60" w:type="dxa"/>
              <w:right w:w="80" w:type="dxa"/>
            </w:tcMar>
            <w:vAlign w:val="center"/>
          </w:tcPr>
          <w:p w14:paraId="0A3D10EC">
            <w:pPr>
              <w:snapToGrid w:val="0"/>
              <w:spacing w:line="360" w:lineRule="auto"/>
              <w:ind w:left="0" w:leftChars="0" w:right="0" w:rightChars="0" w:firstLine="0" w:firstLineChars="0"/>
              <w:jc w:val="center"/>
              <w:rPr>
                <w:rFonts w:hint="default" w:ascii="Times New Roman" w:hAnsi="Times New Roman" w:eastAsia="Arial" w:cs="Times New Roman"/>
                <w:b/>
                <w:i w:val="0"/>
                <w:iCs w:val="0"/>
                <w:sz w:val="24"/>
                <w:szCs w:val="24"/>
              </w:rPr>
            </w:pPr>
            <w:r>
              <w:rPr>
                <w:rFonts w:hint="default" w:ascii="Times New Roman" w:hAnsi="Times New Roman" w:eastAsia="Arial" w:cs="Times New Roman"/>
                <w:b/>
                <w:bCs/>
                <w:i w:val="0"/>
                <w:iCs w:val="0"/>
                <w:sz w:val="24"/>
                <w:szCs w:val="24"/>
              </w:rPr>
              <w:t>Section/Topic</w:t>
            </w:r>
          </w:p>
        </w:tc>
        <w:tc>
          <w:tcPr>
            <w:tcW w:w="226" w:type="pct"/>
            <w:tcBorders>
              <w:top w:val="single" w:color="auto" w:sz="4" w:space="0"/>
              <w:left w:val="nil"/>
              <w:bottom w:val="single" w:color="auto" w:sz="4" w:space="0"/>
              <w:right w:val="nil"/>
            </w:tcBorders>
            <w:tcMar>
              <w:top w:w="60" w:type="dxa"/>
              <w:left w:w="80" w:type="dxa"/>
              <w:bottom w:w="60" w:type="dxa"/>
              <w:right w:w="80" w:type="dxa"/>
            </w:tcMar>
            <w:vAlign w:val="center"/>
          </w:tcPr>
          <w:p w14:paraId="26656683">
            <w:pPr>
              <w:snapToGrid w:val="0"/>
              <w:spacing w:line="360" w:lineRule="auto"/>
              <w:ind w:left="0" w:leftChars="0" w:right="0" w:rightChars="0" w:firstLine="0" w:firstLineChars="0"/>
              <w:jc w:val="center"/>
              <w:rPr>
                <w:rFonts w:hint="default" w:ascii="Times New Roman" w:hAnsi="Times New Roman" w:eastAsia="Arial" w:cs="Times New Roman"/>
                <w:b/>
                <w:i w:val="0"/>
                <w:iCs w:val="0"/>
                <w:sz w:val="24"/>
                <w:szCs w:val="24"/>
              </w:rPr>
            </w:pPr>
            <w:r>
              <w:rPr>
                <w:rFonts w:hint="default" w:ascii="Times New Roman" w:hAnsi="Times New Roman" w:eastAsia="Arial" w:cs="Times New Roman"/>
                <w:b/>
                <w:bCs/>
                <w:i w:val="0"/>
                <w:iCs w:val="0"/>
                <w:sz w:val="24"/>
                <w:szCs w:val="24"/>
              </w:rPr>
              <w:t>Item #</w:t>
            </w:r>
          </w:p>
        </w:tc>
        <w:tc>
          <w:tcPr>
            <w:tcW w:w="3587" w:type="pct"/>
            <w:tcBorders>
              <w:top w:val="single" w:color="auto" w:sz="4" w:space="0"/>
              <w:left w:val="nil"/>
              <w:bottom w:val="single" w:color="auto" w:sz="4" w:space="0"/>
              <w:right w:val="nil"/>
            </w:tcBorders>
            <w:tcMar>
              <w:top w:w="60" w:type="dxa"/>
              <w:left w:w="80" w:type="dxa"/>
              <w:bottom w:w="60" w:type="dxa"/>
              <w:right w:w="80" w:type="dxa"/>
            </w:tcMar>
            <w:vAlign w:val="center"/>
          </w:tcPr>
          <w:p w14:paraId="1B29CA73">
            <w:pPr>
              <w:snapToGrid w:val="0"/>
              <w:spacing w:line="360" w:lineRule="auto"/>
              <w:ind w:left="0" w:leftChars="0" w:right="0" w:rightChars="0" w:firstLine="0" w:firstLineChars="0"/>
              <w:jc w:val="center"/>
              <w:rPr>
                <w:rFonts w:hint="default" w:ascii="Times New Roman" w:hAnsi="Times New Roman" w:eastAsia="Arial" w:cs="Times New Roman"/>
                <w:b/>
                <w:i w:val="0"/>
                <w:iCs w:val="0"/>
                <w:sz w:val="24"/>
                <w:szCs w:val="24"/>
              </w:rPr>
            </w:pPr>
            <w:r>
              <w:rPr>
                <w:rFonts w:hint="default" w:ascii="Times New Roman" w:hAnsi="Times New Roman" w:eastAsia="Arial" w:cs="Times New Roman"/>
                <w:b/>
                <w:bCs/>
                <w:i w:val="0"/>
                <w:iCs w:val="0"/>
                <w:sz w:val="24"/>
                <w:szCs w:val="24"/>
              </w:rPr>
              <w:t>Checklist Item</w:t>
            </w:r>
          </w:p>
        </w:tc>
        <w:tc>
          <w:tcPr>
            <w:tcW w:w="507" w:type="pct"/>
            <w:tcBorders>
              <w:top w:val="single" w:color="auto" w:sz="4" w:space="0"/>
              <w:left w:val="nil"/>
              <w:bottom w:val="single" w:color="auto" w:sz="4" w:space="0"/>
              <w:right w:val="nil"/>
            </w:tcBorders>
            <w:tcMar>
              <w:top w:w="60" w:type="dxa"/>
              <w:left w:w="80" w:type="dxa"/>
              <w:bottom w:w="60" w:type="dxa"/>
              <w:right w:w="80" w:type="dxa"/>
            </w:tcMar>
            <w:vAlign w:val="center"/>
          </w:tcPr>
          <w:p w14:paraId="6B6370D9">
            <w:pPr>
              <w:snapToGrid w:val="0"/>
              <w:spacing w:line="360" w:lineRule="auto"/>
              <w:ind w:left="0" w:leftChars="0" w:right="0" w:rightChars="0" w:firstLine="0" w:firstLineChars="0"/>
              <w:jc w:val="center"/>
              <w:rPr>
                <w:rFonts w:hint="default" w:ascii="Times New Roman" w:hAnsi="Times New Roman" w:eastAsia="Arial" w:cs="Times New Roman"/>
                <w:b/>
                <w:i w:val="0"/>
                <w:iCs w:val="0"/>
                <w:sz w:val="24"/>
                <w:szCs w:val="24"/>
              </w:rPr>
            </w:pPr>
            <w:r>
              <w:rPr>
                <w:rFonts w:hint="default" w:ascii="Times New Roman" w:hAnsi="Times New Roman" w:eastAsia="Arial" w:cs="Times New Roman"/>
                <w:b/>
                <w:bCs/>
                <w:i w:val="0"/>
                <w:iCs w:val="0"/>
                <w:sz w:val="24"/>
                <w:szCs w:val="24"/>
              </w:rPr>
              <w:t>Reported on Page #</w:t>
            </w:r>
          </w:p>
        </w:tc>
      </w:tr>
      <w:tr w14:paraId="3A71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single" w:color="auto" w:sz="4" w:space="0"/>
              <w:left w:val="nil"/>
              <w:bottom w:val="nil"/>
              <w:right w:val="nil"/>
            </w:tcBorders>
            <w:tcMar>
              <w:top w:w="60" w:type="dxa"/>
              <w:left w:w="80" w:type="dxa"/>
              <w:bottom w:w="60" w:type="dxa"/>
              <w:right w:w="80" w:type="dxa"/>
            </w:tcMar>
            <w:vAlign w:val="center"/>
          </w:tcPr>
          <w:p w14:paraId="18B1F5E8">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TITLE</w:t>
            </w:r>
          </w:p>
        </w:tc>
      </w:tr>
      <w:tr w14:paraId="0271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5928AF9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Title</w:t>
            </w:r>
          </w:p>
        </w:tc>
        <w:tc>
          <w:tcPr>
            <w:tcW w:w="226" w:type="pct"/>
            <w:tcBorders>
              <w:top w:val="nil"/>
              <w:left w:val="nil"/>
              <w:bottom w:val="nil"/>
              <w:right w:val="nil"/>
            </w:tcBorders>
            <w:tcMar>
              <w:top w:w="60" w:type="dxa"/>
              <w:left w:w="80" w:type="dxa"/>
              <w:bottom w:w="60" w:type="dxa"/>
              <w:right w:w="80" w:type="dxa"/>
            </w:tcMar>
            <w:vAlign w:val="center"/>
          </w:tcPr>
          <w:p w14:paraId="1ED0EEA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w:t>
            </w:r>
          </w:p>
        </w:tc>
        <w:tc>
          <w:tcPr>
            <w:tcW w:w="3587" w:type="pct"/>
            <w:tcBorders>
              <w:top w:val="nil"/>
              <w:left w:val="nil"/>
              <w:bottom w:val="nil"/>
              <w:right w:val="nil"/>
            </w:tcBorders>
            <w:tcMar>
              <w:top w:w="60" w:type="dxa"/>
              <w:left w:w="80" w:type="dxa"/>
              <w:bottom w:w="60" w:type="dxa"/>
              <w:right w:w="80" w:type="dxa"/>
            </w:tcMar>
            <w:vAlign w:val="center"/>
          </w:tcPr>
          <w:p w14:paraId="06F7742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Identify the report as a systematic review incorporating a network meta-analysis (or related form of meta-analysis).</w:t>
            </w:r>
          </w:p>
        </w:tc>
        <w:tc>
          <w:tcPr>
            <w:tcW w:w="507" w:type="pct"/>
            <w:tcBorders>
              <w:top w:val="nil"/>
              <w:left w:val="nil"/>
              <w:bottom w:val="nil"/>
              <w:right w:val="nil"/>
            </w:tcBorders>
            <w:tcMar>
              <w:top w:w="60" w:type="dxa"/>
              <w:left w:w="80" w:type="dxa"/>
              <w:bottom w:w="60" w:type="dxa"/>
              <w:right w:w="80" w:type="dxa"/>
            </w:tcMar>
            <w:vAlign w:val="center"/>
          </w:tcPr>
          <w:p w14:paraId="71FA139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eastAsia"/>
              </w:rPr>
              <w:t>1</w:t>
            </w:r>
          </w:p>
        </w:tc>
      </w:tr>
      <w:tr w14:paraId="3C69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5330C938">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0BDF9FB3">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312DDD82">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34B049BC">
            <w:pPr>
              <w:snapToGrid w:val="0"/>
              <w:spacing w:line="360" w:lineRule="auto"/>
              <w:ind w:left="0" w:leftChars="0" w:right="0" w:rightChars="0" w:firstLine="0" w:firstLineChars="0"/>
              <w:jc w:val="both"/>
              <w:rPr>
                <w:rFonts w:hint="default" w:ascii="Times New Roman" w:hAnsi="Times New Roman" w:cs="Times New Roman"/>
                <w:i w:val="0"/>
                <w:iCs w:val="0"/>
                <w:sz w:val="24"/>
                <w:szCs w:val="24"/>
              </w:rPr>
            </w:pPr>
          </w:p>
        </w:tc>
      </w:tr>
      <w:tr w14:paraId="7467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1B2E080D">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ABSTRACT</w:t>
            </w:r>
          </w:p>
        </w:tc>
      </w:tr>
      <w:tr w14:paraId="7950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29A0578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Structured summary</w:t>
            </w:r>
          </w:p>
        </w:tc>
        <w:tc>
          <w:tcPr>
            <w:tcW w:w="226" w:type="pct"/>
            <w:tcBorders>
              <w:top w:val="nil"/>
              <w:left w:val="nil"/>
              <w:bottom w:val="nil"/>
              <w:right w:val="nil"/>
            </w:tcBorders>
            <w:tcMar>
              <w:top w:w="60" w:type="dxa"/>
              <w:left w:w="80" w:type="dxa"/>
              <w:bottom w:w="60" w:type="dxa"/>
              <w:right w:w="80" w:type="dxa"/>
            </w:tcMar>
            <w:vAlign w:val="center"/>
          </w:tcPr>
          <w:p w14:paraId="384B1F3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w:t>
            </w:r>
          </w:p>
        </w:tc>
        <w:tc>
          <w:tcPr>
            <w:tcW w:w="3587" w:type="pct"/>
            <w:tcBorders>
              <w:top w:val="nil"/>
              <w:left w:val="nil"/>
              <w:bottom w:val="nil"/>
              <w:right w:val="nil"/>
            </w:tcBorders>
            <w:tcMar>
              <w:top w:w="60" w:type="dxa"/>
              <w:left w:w="80" w:type="dxa"/>
              <w:bottom w:w="60" w:type="dxa"/>
              <w:right w:w="80" w:type="dxa"/>
            </w:tcMar>
            <w:vAlign w:val="center"/>
          </w:tcPr>
          <w:p w14:paraId="6F00B7C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Provide a structured summary including, as applicable:</w:t>
            </w:r>
          </w:p>
          <w:p w14:paraId="5E1F379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Background: main objectives</w:t>
            </w:r>
          </w:p>
          <w:p w14:paraId="0A0C04D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Methods: data sources; study eligibility criteria, participants, and interventions; study appraisal; and synthesis methods, such as network meta-analysis.</w:t>
            </w:r>
          </w:p>
          <w:p w14:paraId="2E685D2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Results: number of studies and participants identified; summary estimates with corresponding confidence/credible intervals; treatment rankings may also be discussed. Authors may choose to summarize pairwise comparisons against a chosen treatment included in their analyses for brevity.</w:t>
            </w:r>
          </w:p>
          <w:p w14:paraId="31035AC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Discussion/Conclusions: limitations; conclusions and implications of findings.</w:t>
            </w:r>
          </w:p>
          <w:p w14:paraId="47A70F8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Other: primary source of funding; systematic review registration number with registry name.</w:t>
            </w:r>
          </w:p>
        </w:tc>
        <w:tc>
          <w:tcPr>
            <w:tcW w:w="507" w:type="pct"/>
            <w:tcBorders>
              <w:top w:val="nil"/>
              <w:left w:val="nil"/>
              <w:bottom w:val="nil"/>
              <w:right w:val="nil"/>
            </w:tcBorders>
            <w:tcMar>
              <w:top w:w="60" w:type="dxa"/>
              <w:left w:w="80" w:type="dxa"/>
              <w:bottom w:w="60" w:type="dxa"/>
              <w:right w:w="80" w:type="dxa"/>
            </w:tcMar>
            <w:vAlign w:val="center"/>
          </w:tcPr>
          <w:p w14:paraId="34327A7C">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ascii="Times New Roman" w:hAnsi="Times New Roman" w:eastAsia="宋体" w:cs="Times New Roman"/>
                <w:i w:val="0"/>
                <w:iCs w:val="0"/>
                <w:sz w:val="24"/>
                <w:szCs w:val="24"/>
                <w:lang w:val="en-US" w:eastAsia="zh-CN"/>
              </w:rPr>
              <w:t>1</w:t>
            </w:r>
          </w:p>
        </w:tc>
      </w:tr>
      <w:tr w14:paraId="0770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848871B">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3C4C1E84">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7A642000">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5F8320E8">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r>
      <w:tr w14:paraId="1CDB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772FB619">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INTRODUCTION</w:t>
            </w:r>
          </w:p>
        </w:tc>
      </w:tr>
      <w:tr w14:paraId="093E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4CF960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Rationale</w:t>
            </w:r>
          </w:p>
        </w:tc>
        <w:tc>
          <w:tcPr>
            <w:tcW w:w="226" w:type="pct"/>
            <w:tcBorders>
              <w:top w:val="nil"/>
              <w:left w:val="nil"/>
              <w:bottom w:val="nil"/>
              <w:right w:val="nil"/>
            </w:tcBorders>
            <w:tcMar>
              <w:top w:w="60" w:type="dxa"/>
              <w:left w:w="80" w:type="dxa"/>
              <w:bottom w:w="60" w:type="dxa"/>
              <w:right w:w="80" w:type="dxa"/>
            </w:tcMar>
            <w:vAlign w:val="center"/>
          </w:tcPr>
          <w:p w14:paraId="672752C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3</w:t>
            </w:r>
          </w:p>
        </w:tc>
        <w:tc>
          <w:tcPr>
            <w:tcW w:w="3587" w:type="pct"/>
            <w:tcBorders>
              <w:top w:val="nil"/>
              <w:left w:val="nil"/>
              <w:bottom w:val="nil"/>
              <w:right w:val="nil"/>
            </w:tcBorders>
            <w:tcMar>
              <w:top w:w="60" w:type="dxa"/>
              <w:left w:w="80" w:type="dxa"/>
              <w:bottom w:w="60" w:type="dxa"/>
              <w:right w:w="80" w:type="dxa"/>
            </w:tcMar>
            <w:vAlign w:val="center"/>
          </w:tcPr>
          <w:p w14:paraId="20FA767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the rationale for the review in the context of what is already known, including mention of why a network meta-analysis has been conducted.</w:t>
            </w:r>
          </w:p>
        </w:tc>
        <w:tc>
          <w:tcPr>
            <w:tcW w:w="507" w:type="pct"/>
            <w:tcBorders>
              <w:top w:val="nil"/>
              <w:left w:val="nil"/>
              <w:bottom w:val="nil"/>
              <w:right w:val="nil"/>
            </w:tcBorders>
            <w:tcMar>
              <w:top w:w="60" w:type="dxa"/>
              <w:left w:w="80" w:type="dxa"/>
              <w:bottom w:w="60" w:type="dxa"/>
              <w:right w:w="80" w:type="dxa"/>
            </w:tcMar>
            <w:vAlign w:val="center"/>
          </w:tcPr>
          <w:p w14:paraId="0F5FDE72">
            <w:pPr>
              <w:snapToGrid w:val="0"/>
              <w:spacing w:line="360" w:lineRule="auto"/>
              <w:ind w:left="0" w:leftChars="0" w:right="0" w:rightChars="0" w:firstLine="0" w:firstLineChars="0"/>
              <w:jc w:val="center"/>
              <w:rPr>
                <w:rFonts w:hint="eastAsia" w:ascii="Times New Roman" w:hAnsi="Times New Roman" w:eastAsia="宋体" w:cs="Times New Roman"/>
                <w:i w:val="0"/>
                <w:iCs w:val="0"/>
                <w:sz w:val="24"/>
                <w:szCs w:val="24"/>
                <w:lang w:eastAsia="zh-CN"/>
              </w:rPr>
            </w:pPr>
            <w:r>
              <w:rPr>
                <w:rFonts w:hint="eastAsia" w:eastAsia="宋体"/>
                <w:lang w:val="en-US" w:eastAsia="zh-CN"/>
              </w:rPr>
              <w:t>3</w:t>
            </w:r>
          </w:p>
        </w:tc>
      </w:tr>
      <w:tr w14:paraId="0BEC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44F5F8D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Objectives</w:t>
            </w:r>
          </w:p>
        </w:tc>
        <w:tc>
          <w:tcPr>
            <w:tcW w:w="226" w:type="pct"/>
            <w:tcBorders>
              <w:top w:val="nil"/>
              <w:left w:val="nil"/>
              <w:bottom w:val="nil"/>
              <w:right w:val="nil"/>
            </w:tcBorders>
            <w:tcMar>
              <w:top w:w="60" w:type="dxa"/>
              <w:left w:w="80" w:type="dxa"/>
              <w:bottom w:w="60" w:type="dxa"/>
              <w:right w:w="80" w:type="dxa"/>
            </w:tcMar>
            <w:vAlign w:val="center"/>
          </w:tcPr>
          <w:p w14:paraId="1C54BA2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4</w:t>
            </w:r>
          </w:p>
        </w:tc>
        <w:tc>
          <w:tcPr>
            <w:tcW w:w="3587" w:type="pct"/>
            <w:tcBorders>
              <w:top w:val="nil"/>
              <w:left w:val="nil"/>
              <w:bottom w:val="nil"/>
              <w:right w:val="nil"/>
            </w:tcBorders>
            <w:tcMar>
              <w:top w:w="60" w:type="dxa"/>
              <w:left w:w="80" w:type="dxa"/>
              <w:bottom w:w="60" w:type="dxa"/>
              <w:right w:w="80" w:type="dxa"/>
            </w:tcMar>
            <w:vAlign w:val="center"/>
          </w:tcPr>
          <w:p w14:paraId="35698FC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Provide an explicit statement of questions being addressed, with reference to participants, interventions, comparisons, outcomes, and study design (PICOS).</w:t>
            </w:r>
          </w:p>
        </w:tc>
        <w:tc>
          <w:tcPr>
            <w:tcW w:w="507" w:type="pct"/>
            <w:tcBorders>
              <w:top w:val="nil"/>
              <w:left w:val="nil"/>
              <w:bottom w:val="nil"/>
              <w:right w:val="nil"/>
            </w:tcBorders>
            <w:tcMar>
              <w:top w:w="60" w:type="dxa"/>
              <w:left w:w="80" w:type="dxa"/>
              <w:bottom w:w="60" w:type="dxa"/>
              <w:right w:w="80" w:type="dxa"/>
            </w:tcMar>
            <w:vAlign w:val="center"/>
          </w:tcPr>
          <w:p w14:paraId="21872DDE">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4-5</w:t>
            </w:r>
          </w:p>
        </w:tc>
      </w:tr>
      <w:tr w14:paraId="1114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7D257EE">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1CC8A177">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6F3B2F0C">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1543A627">
            <w:pPr>
              <w:snapToGrid w:val="0"/>
              <w:spacing w:line="360" w:lineRule="auto"/>
              <w:ind w:left="0" w:leftChars="0" w:right="0" w:rightChars="0" w:firstLine="0" w:firstLineChars="0"/>
              <w:jc w:val="center"/>
              <w:rPr>
                <w:rFonts w:hint="eastAsia" w:ascii="Times New Roman" w:hAnsi="Times New Roman" w:cs="Times New Roman" w:eastAsiaTheme="minorEastAsia"/>
                <w:i w:val="0"/>
                <w:iCs w:val="0"/>
                <w:sz w:val="24"/>
                <w:szCs w:val="24"/>
                <w:lang w:eastAsia="zh-CN"/>
              </w:rPr>
            </w:pPr>
          </w:p>
        </w:tc>
      </w:tr>
      <w:tr w14:paraId="1EB8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07886FA2">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METHODS</w:t>
            </w:r>
          </w:p>
        </w:tc>
      </w:tr>
      <w:tr w14:paraId="1322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3695E9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Protocol and registration</w:t>
            </w:r>
          </w:p>
        </w:tc>
        <w:tc>
          <w:tcPr>
            <w:tcW w:w="226" w:type="pct"/>
            <w:tcBorders>
              <w:top w:val="nil"/>
              <w:left w:val="nil"/>
              <w:bottom w:val="nil"/>
              <w:right w:val="nil"/>
            </w:tcBorders>
            <w:tcMar>
              <w:top w:w="60" w:type="dxa"/>
              <w:left w:w="80" w:type="dxa"/>
              <w:bottom w:w="60" w:type="dxa"/>
              <w:right w:w="80" w:type="dxa"/>
            </w:tcMar>
            <w:vAlign w:val="center"/>
          </w:tcPr>
          <w:p w14:paraId="58D5BAB8">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5</w:t>
            </w:r>
          </w:p>
        </w:tc>
        <w:tc>
          <w:tcPr>
            <w:tcW w:w="3587" w:type="pct"/>
            <w:tcBorders>
              <w:top w:val="nil"/>
              <w:left w:val="nil"/>
              <w:bottom w:val="nil"/>
              <w:right w:val="nil"/>
            </w:tcBorders>
            <w:tcMar>
              <w:top w:w="60" w:type="dxa"/>
              <w:left w:w="80" w:type="dxa"/>
              <w:bottom w:w="60" w:type="dxa"/>
              <w:right w:w="80" w:type="dxa"/>
            </w:tcMar>
            <w:vAlign w:val="center"/>
          </w:tcPr>
          <w:p w14:paraId="4F82E79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Indicate whether a review protocol exists and if and where it can be accessed (e.g., Web address); and, if available, provide registration information, including registration number.</w:t>
            </w:r>
          </w:p>
        </w:tc>
        <w:tc>
          <w:tcPr>
            <w:tcW w:w="507" w:type="pct"/>
            <w:tcBorders>
              <w:top w:val="nil"/>
              <w:left w:val="nil"/>
              <w:bottom w:val="nil"/>
              <w:right w:val="nil"/>
            </w:tcBorders>
            <w:tcMar>
              <w:top w:w="60" w:type="dxa"/>
              <w:left w:w="80" w:type="dxa"/>
              <w:bottom w:w="60" w:type="dxa"/>
              <w:right w:w="80" w:type="dxa"/>
            </w:tcMar>
            <w:vAlign w:val="center"/>
          </w:tcPr>
          <w:p w14:paraId="245EE0E5">
            <w:pPr>
              <w:snapToGrid w:val="0"/>
              <w:spacing w:line="360" w:lineRule="auto"/>
              <w:ind w:left="0" w:leftChars="0" w:right="0" w:rightChars="0" w:firstLine="0" w:firstLineChars="0"/>
              <w:jc w:val="center"/>
              <w:rPr>
                <w:rFonts w:hint="eastAsia" w:ascii="Times New Roman" w:hAnsi="Times New Roman" w:eastAsia="宋体" w:cs="Times New Roman"/>
                <w:i w:val="0"/>
                <w:iCs w:val="0"/>
                <w:sz w:val="24"/>
                <w:szCs w:val="24"/>
                <w:lang w:eastAsia="zh-CN"/>
              </w:rPr>
            </w:pPr>
            <w:r>
              <w:rPr>
                <w:rFonts w:hint="eastAsia" w:eastAsia="宋体"/>
                <w:lang w:val="en-US" w:eastAsia="zh-CN"/>
              </w:rPr>
              <w:t>5</w:t>
            </w:r>
          </w:p>
        </w:tc>
      </w:tr>
      <w:tr w14:paraId="3FEB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0BBF5D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Eligibility criteria</w:t>
            </w:r>
          </w:p>
        </w:tc>
        <w:tc>
          <w:tcPr>
            <w:tcW w:w="226" w:type="pct"/>
            <w:tcBorders>
              <w:top w:val="nil"/>
              <w:left w:val="nil"/>
              <w:bottom w:val="nil"/>
              <w:right w:val="nil"/>
            </w:tcBorders>
            <w:tcMar>
              <w:top w:w="60" w:type="dxa"/>
              <w:left w:w="80" w:type="dxa"/>
              <w:bottom w:w="60" w:type="dxa"/>
              <w:right w:w="80" w:type="dxa"/>
            </w:tcMar>
            <w:vAlign w:val="center"/>
          </w:tcPr>
          <w:p w14:paraId="6B16242F">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6</w:t>
            </w:r>
          </w:p>
        </w:tc>
        <w:tc>
          <w:tcPr>
            <w:tcW w:w="3587" w:type="pct"/>
            <w:tcBorders>
              <w:top w:val="nil"/>
              <w:left w:val="nil"/>
              <w:bottom w:val="nil"/>
              <w:right w:val="nil"/>
            </w:tcBorders>
            <w:tcMar>
              <w:top w:w="60" w:type="dxa"/>
              <w:left w:w="80" w:type="dxa"/>
              <w:bottom w:w="60" w:type="dxa"/>
              <w:right w:w="80" w:type="dxa"/>
            </w:tcMar>
            <w:vAlign w:val="center"/>
          </w:tcPr>
          <w:p w14:paraId="0E83AF8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Specify study characteristics (e.g., PICOS, length of follow-up) and report characteristics (e.g., years considered, language, publication status) used as criteria for eligibility, giving rationale. Clearly describe eligible treatments included in the treatment network, and note whether any have been clustered or merged into the same node (with justification).</w:t>
            </w:r>
          </w:p>
        </w:tc>
        <w:tc>
          <w:tcPr>
            <w:tcW w:w="507" w:type="pct"/>
            <w:tcBorders>
              <w:top w:val="nil"/>
              <w:left w:val="nil"/>
              <w:bottom w:val="nil"/>
              <w:right w:val="nil"/>
            </w:tcBorders>
            <w:tcMar>
              <w:top w:w="60" w:type="dxa"/>
              <w:left w:w="80" w:type="dxa"/>
              <w:bottom w:w="60" w:type="dxa"/>
              <w:right w:w="80" w:type="dxa"/>
            </w:tcMar>
            <w:vAlign w:val="center"/>
          </w:tcPr>
          <w:p w14:paraId="1E752391">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10</w:t>
            </w:r>
          </w:p>
        </w:tc>
      </w:tr>
      <w:tr w14:paraId="214E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9A2E708">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Information sources</w:t>
            </w:r>
          </w:p>
        </w:tc>
        <w:tc>
          <w:tcPr>
            <w:tcW w:w="226" w:type="pct"/>
            <w:tcBorders>
              <w:top w:val="nil"/>
              <w:left w:val="nil"/>
              <w:bottom w:val="nil"/>
              <w:right w:val="nil"/>
            </w:tcBorders>
            <w:tcMar>
              <w:top w:w="60" w:type="dxa"/>
              <w:left w:w="80" w:type="dxa"/>
              <w:bottom w:w="60" w:type="dxa"/>
              <w:right w:w="80" w:type="dxa"/>
            </w:tcMar>
            <w:vAlign w:val="center"/>
          </w:tcPr>
          <w:p w14:paraId="22AD4EB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7</w:t>
            </w:r>
          </w:p>
        </w:tc>
        <w:tc>
          <w:tcPr>
            <w:tcW w:w="3587" w:type="pct"/>
            <w:tcBorders>
              <w:top w:val="nil"/>
              <w:left w:val="nil"/>
              <w:bottom w:val="nil"/>
              <w:right w:val="nil"/>
            </w:tcBorders>
            <w:tcMar>
              <w:top w:w="60" w:type="dxa"/>
              <w:left w:w="80" w:type="dxa"/>
              <w:bottom w:w="60" w:type="dxa"/>
              <w:right w:w="80" w:type="dxa"/>
            </w:tcMar>
            <w:vAlign w:val="center"/>
          </w:tcPr>
          <w:p w14:paraId="627C71D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all information sources (e.g., databases with dates of coverage, contact with study authors to identify additional studies) in the search and date last searched.</w:t>
            </w:r>
          </w:p>
        </w:tc>
        <w:tc>
          <w:tcPr>
            <w:tcW w:w="507" w:type="pct"/>
            <w:tcBorders>
              <w:top w:val="nil"/>
              <w:left w:val="nil"/>
              <w:bottom w:val="nil"/>
              <w:right w:val="nil"/>
            </w:tcBorders>
            <w:tcMar>
              <w:top w:w="60" w:type="dxa"/>
              <w:left w:w="80" w:type="dxa"/>
              <w:bottom w:w="60" w:type="dxa"/>
              <w:right w:w="80" w:type="dxa"/>
            </w:tcMar>
            <w:vAlign w:val="center"/>
          </w:tcPr>
          <w:p w14:paraId="2B21565A">
            <w:pPr>
              <w:snapToGrid w:val="0"/>
              <w:spacing w:line="360" w:lineRule="auto"/>
              <w:ind w:left="0" w:leftChars="0" w:right="0" w:rightChars="0" w:firstLine="0" w:firstLineChars="0"/>
              <w:jc w:val="center"/>
              <w:rPr>
                <w:rFonts w:hint="eastAsia" w:ascii="Times New Roman" w:hAnsi="Times New Roman" w:eastAsia="宋体" w:cs="Times New Roman"/>
                <w:i w:val="0"/>
                <w:iCs w:val="0"/>
                <w:sz w:val="24"/>
                <w:szCs w:val="24"/>
                <w:lang w:eastAsia="zh-CN"/>
              </w:rPr>
            </w:pPr>
            <w:r>
              <w:rPr>
                <w:rFonts w:hint="eastAsia" w:eastAsia="宋体"/>
                <w:lang w:val="en-US" w:eastAsia="zh-CN"/>
              </w:rPr>
              <w:t>6</w:t>
            </w:r>
          </w:p>
        </w:tc>
      </w:tr>
      <w:tr w14:paraId="66D3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74592C7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Search</w:t>
            </w:r>
          </w:p>
        </w:tc>
        <w:tc>
          <w:tcPr>
            <w:tcW w:w="226" w:type="pct"/>
            <w:tcBorders>
              <w:top w:val="nil"/>
              <w:left w:val="nil"/>
              <w:bottom w:val="nil"/>
              <w:right w:val="nil"/>
            </w:tcBorders>
            <w:tcMar>
              <w:top w:w="60" w:type="dxa"/>
              <w:left w:w="80" w:type="dxa"/>
              <w:bottom w:w="60" w:type="dxa"/>
              <w:right w:w="80" w:type="dxa"/>
            </w:tcMar>
            <w:vAlign w:val="center"/>
          </w:tcPr>
          <w:p w14:paraId="693CEF8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8</w:t>
            </w:r>
          </w:p>
        </w:tc>
        <w:tc>
          <w:tcPr>
            <w:tcW w:w="3587" w:type="pct"/>
            <w:tcBorders>
              <w:top w:val="nil"/>
              <w:left w:val="nil"/>
              <w:bottom w:val="nil"/>
              <w:right w:val="nil"/>
            </w:tcBorders>
            <w:tcMar>
              <w:top w:w="60" w:type="dxa"/>
              <w:left w:w="80" w:type="dxa"/>
              <w:bottom w:w="60" w:type="dxa"/>
              <w:right w:w="80" w:type="dxa"/>
            </w:tcMar>
            <w:vAlign w:val="center"/>
          </w:tcPr>
          <w:p w14:paraId="134C15F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Present full electronic search strategy for at least one database, including any limits used, such that it could be repeated.</w:t>
            </w:r>
          </w:p>
        </w:tc>
        <w:tc>
          <w:tcPr>
            <w:tcW w:w="507" w:type="pct"/>
            <w:tcBorders>
              <w:top w:val="nil"/>
              <w:left w:val="nil"/>
              <w:bottom w:val="nil"/>
              <w:right w:val="nil"/>
            </w:tcBorders>
            <w:tcMar>
              <w:top w:w="60" w:type="dxa"/>
              <w:left w:w="80" w:type="dxa"/>
              <w:bottom w:w="60" w:type="dxa"/>
              <w:right w:w="80" w:type="dxa"/>
            </w:tcMar>
            <w:vAlign w:val="center"/>
          </w:tcPr>
          <w:p w14:paraId="7171C662">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r>
              <w:rPr>
                <w:rFonts w:hint="eastAsia"/>
                <w:lang w:val="en-US" w:eastAsia="zh-CN"/>
              </w:rPr>
              <w:t>6-9</w:t>
            </w:r>
          </w:p>
        </w:tc>
      </w:tr>
      <w:tr w14:paraId="1F02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24568F9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Study selection</w:t>
            </w:r>
          </w:p>
        </w:tc>
        <w:tc>
          <w:tcPr>
            <w:tcW w:w="226" w:type="pct"/>
            <w:tcBorders>
              <w:top w:val="nil"/>
              <w:left w:val="nil"/>
              <w:bottom w:val="nil"/>
              <w:right w:val="nil"/>
            </w:tcBorders>
            <w:tcMar>
              <w:top w:w="60" w:type="dxa"/>
              <w:left w:w="80" w:type="dxa"/>
              <w:bottom w:w="60" w:type="dxa"/>
              <w:right w:w="80" w:type="dxa"/>
            </w:tcMar>
            <w:vAlign w:val="center"/>
          </w:tcPr>
          <w:p w14:paraId="0B4C9024">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9</w:t>
            </w:r>
          </w:p>
        </w:tc>
        <w:tc>
          <w:tcPr>
            <w:tcW w:w="3587" w:type="pct"/>
            <w:tcBorders>
              <w:top w:val="nil"/>
              <w:left w:val="nil"/>
              <w:bottom w:val="nil"/>
              <w:right w:val="nil"/>
            </w:tcBorders>
            <w:tcMar>
              <w:top w:w="60" w:type="dxa"/>
              <w:left w:w="80" w:type="dxa"/>
              <w:bottom w:w="60" w:type="dxa"/>
              <w:right w:w="80" w:type="dxa"/>
            </w:tcMar>
            <w:vAlign w:val="center"/>
          </w:tcPr>
          <w:p w14:paraId="47FBC85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State the process for selecting studies (i.e., screening, eligibility, included in systematic review, and, if applicable, included in the meta-analysis).</w:t>
            </w:r>
          </w:p>
        </w:tc>
        <w:tc>
          <w:tcPr>
            <w:tcW w:w="507" w:type="pct"/>
            <w:tcBorders>
              <w:top w:val="nil"/>
              <w:left w:val="nil"/>
              <w:bottom w:val="nil"/>
              <w:right w:val="nil"/>
            </w:tcBorders>
            <w:tcMar>
              <w:top w:w="60" w:type="dxa"/>
              <w:left w:w="80" w:type="dxa"/>
              <w:bottom w:w="60" w:type="dxa"/>
              <w:right w:w="80" w:type="dxa"/>
            </w:tcMar>
            <w:vAlign w:val="center"/>
          </w:tcPr>
          <w:p w14:paraId="780D091A">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ascii="Times New Roman" w:hAnsi="Times New Roman" w:eastAsia="宋体" w:cs="Times New Roman"/>
                <w:i w:val="0"/>
                <w:iCs w:val="0"/>
                <w:sz w:val="24"/>
                <w:szCs w:val="24"/>
                <w:lang w:val="en-US" w:eastAsia="zh-CN"/>
              </w:rPr>
              <w:t>11</w:t>
            </w:r>
          </w:p>
        </w:tc>
      </w:tr>
      <w:tr w14:paraId="20A2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44DC8D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Data collection process</w:t>
            </w:r>
          </w:p>
        </w:tc>
        <w:tc>
          <w:tcPr>
            <w:tcW w:w="226" w:type="pct"/>
            <w:tcBorders>
              <w:top w:val="nil"/>
              <w:left w:val="nil"/>
              <w:bottom w:val="nil"/>
              <w:right w:val="nil"/>
            </w:tcBorders>
            <w:tcMar>
              <w:top w:w="60" w:type="dxa"/>
              <w:left w:w="80" w:type="dxa"/>
              <w:bottom w:w="60" w:type="dxa"/>
              <w:right w:w="80" w:type="dxa"/>
            </w:tcMar>
            <w:vAlign w:val="center"/>
          </w:tcPr>
          <w:p w14:paraId="3FFF5DF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10</w:t>
            </w:r>
          </w:p>
        </w:tc>
        <w:tc>
          <w:tcPr>
            <w:tcW w:w="3587" w:type="pct"/>
            <w:tcBorders>
              <w:top w:val="nil"/>
              <w:left w:val="nil"/>
              <w:bottom w:val="nil"/>
              <w:right w:val="nil"/>
            </w:tcBorders>
            <w:tcMar>
              <w:top w:w="60" w:type="dxa"/>
              <w:left w:w="80" w:type="dxa"/>
              <w:bottom w:w="60" w:type="dxa"/>
              <w:right w:w="80" w:type="dxa"/>
            </w:tcMar>
            <w:vAlign w:val="center"/>
          </w:tcPr>
          <w:p w14:paraId="42B7F2D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method of data extraction from reports (e.g., piloted forms, independently, in duplicate) and any processes for obtaining and confirming data from investigators.</w:t>
            </w:r>
          </w:p>
        </w:tc>
        <w:tc>
          <w:tcPr>
            <w:tcW w:w="507" w:type="pct"/>
            <w:tcBorders>
              <w:top w:val="nil"/>
              <w:left w:val="nil"/>
              <w:bottom w:val="nil"/>
              <w:right w:val="nil"/>
            </w:tcBorders>
            <w:tcMar>
              <w:top w:w="60" w:type="dxa"/>
              <w:left w:w="80" w:type="dxa"/>
              <w:bottom w:w="60" w:type="dxa"/>
              <w:right w:w="80" w:type="dxa"/>
            </w:tcMar>
            <w:vAlign w:val="center"/>
          </w:tcPr>
          <w:p w14:paraId="505D0F97">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11</w:t>
            </w:r>
          </w:p>
        </w:tc>
      </w:tr>
      <w:tr w14:paraId="5921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97F69B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Data items</w:t>
            </w:r>
          </w:p>
        </w:tc>
        <w:tc>
          <w:tcPr>
            <w:tcW w:w="226" w:type="pct"/>
            <w:tcBorders>
              <w:top w:val="nil"/>
              <w:left w:val="nil"/>
              <w:bottom w:val="nil"/>
              <w:right w:val="nil"/>
            </w:tcBorders>
            <w:tcMar>
              <w:top w:w="60" w:type="dxa"/>
              <w:left w:w="80" w:type="dxa"/>
              <w:bottom w:w="60" w:type="dxa"/>
              <w:right w:w="80" w:type="dxa"/>
            </w:tcMar>
            <w:vAlign w:val="center"/>
          </w:tcPr>
          <w:p w14:paraId="604BDAB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11</w:t>
            </w:r>
          </w:p>
        </w:tc>
        <w:tc>
          <w:tcPr>
            <w:tcW w:w="3587" w:type="pct"/>
            <w:tcBorders>
              <w:top w:val="nil"/>
              <w:left w:val="nil"/>
              <w:bottom w:val="nil"/>
              <w:right w:val="nil"/>
            </w:tcBorders>
            <w:tcMar>
              <w:top w:w="60" w:type="dxa"/>
              <w:left w:w="80" w:type="dxa"/>
              <w:bottom w:w="60" w:type="dxa"/>
              <w:right w:w="80" w:type="dxa"/>
            </w:tcMar>
            <w:vAlign w:val="center"/>
          </w:tcPr>
          <w:p w14:paraId="7C508AB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List and define all variables for which data were sought (e.g., PICOS, funding sources) and any assumptions and simplifications made.</w:t>
            </w:r>
          </w:p>
        </w:tc>
        <w:tc>
          <w:tcPr>
            <w:tcW w:w="507" w:type="pct"/>
            <w:tcBorders>
              <w:top w:val="nil"/>
              <w:left w:val="nil"/>
              <w:bottom w:val="nil"/>
              <w:right w:val="nil"/>
            </w:tcBorders>
            <w:tcMar>
              <w:top w:w="60" w:type="dxa"/>
              <w:left w:w="80" w:type="dxa"/>
              <w:bottom w:w="60" w:type="dxa"/>
              <w:right w:w="80" w:type="dxa"/>
            </w:tcMar>
            <w:vAlign w:val="center"/>
          </w:tcPr>
          <w:p w14:paraId="071AB94A">
            <w:pPr>
              <w:snapToGrid w:val="0"/>
              <w:spacing w:line="360" w:lineRule="auto"/>
              <w:ind w:left="0" w:leftChars="0" w:right="0" w:rightChars="0" w:firstLine="0" w:firstLineChars="0"/>
              <w:jc w:val="center"/>
              <w:rPr>
                <w:rFonts w:hint="eastAsia" w:ascii="Times New Roman" w:hAnsi="Times New Roman" w:cs="Times New Roman" w:eastAsiaTheme="minorEastAsia"/>
                <w:i w:val="0"/>
                <w:iCs w:val="0"/>
                <w:sz w:val="24"/>
                <w:szCs w:val="24"/>
                <w:lang w:val="en-US" w:eastAsia="zh-CN"/>
              </w:rPr>
            </w:pPr>
            <w:r>
              <w:rPr>
                <w:rFonts w:hint="eastAsia"/>
              </w:rPr>
              <w:t>1</w:t>
            </w:r>
            <w:r>
              <w:rPr>
                <w:rFonts w:hint="eastAsia"/>
                <w:lang w:val="en-US" w:eastAsia="zh-CN"/>
              </w:rPr>
              <w:t>1</w:t>
            </w:r>
          </w:p>
        </w:tc>
      </w:tr>
      <w:tr w14:paraId="4875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A0E474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Geometry of the network</w:t>
            </w:r>
          </w:p>
        </w:tc>
        <w:tc>
          <w:tcPr>
            <w:tcW w:w="226" w:type="pct"/>
            <w:tcBorders>
              <w:top w:val="nil"/>
              <w:left w:val="nil"/>
              <w:bottom w:val="nil"/>
              <w:right w:val="nil"/>
            </w:tcBorders>
            <w:tcMar>
              <w:top w:w="60" w:type="dxa"/>
              <w:left w:w="80" w:type="dxa"/>
              <w:bottom w:w="60" w:type="dxa"/>
              <w:right w:w="80" w:type="dxa"/>
            </w:tcMar>
            <w:vAlign w:val="center"/>
          </w:tcPr>
          <w:p w14:paraId="1632B3F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S1</w:t>
            </w:r>
          </w:p>
        </w:tc>
        <w:tc>
          <w:tcPr>
            <w:tcW w:w="3587" w:type="pct"/>
            <w:tcBorders>
              <w:top w:val="nil"/>
              <w:left w:val="nil"/>
              <w:bottom w:val="nil"/>
              <w:right w:val="nil"/>
            </w:tcBorders>
            <w:tcMar>
              <w:top w:w="60" w:type="dxa"/>
              <w:left w:w="80" w:type="dxa"/>
              <w:bottom w:w="60" w:type="dxa"/>
              <w:right w:w="80" w:type="dxa"/>
            </w:tcMar>
            <w:vAlign w:val="center"/>
          </w:tcPr>
          <w:p w14:paraId="48E2476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507" w:type="pct"/>
            <w:tcBorders>
              <w:top w:val="nil"/>
              <w:left w:val="nil"/>
              <w:bottom w:val="nil"/>
              <w:right w:val="nil"/>
            </w:tcBorders>
            <w:tcMar>
              <w:top w:w="60" w:type="dxa"/>
              <w:left w:w="80" w:type="dxa"/>
              <w:bottom w:w="60" w:type="dxa"/>
              <w:right w:w="80" w:type="dxa"/>
            </w:tcMar>
            <w:vAlign w:val="center"/>
          </w:tcPr>
          <w:p w14:paraId="4CD8903D">
            <w:pPr>
              <w:snapToGrid w:val="0"/>
              <w:spacing w:line="360" w:lineRule="auto"/>
              <w:ind w:left="0" w:leftChars="0" w:right="0" w:rightChars="0" w:firstLine="0" w:firstLineChars="0"/>
              <w:jc w:val="center"/>
              <w:rPr>
                <w:rFonts w:hint="eastAsia" w:ascii="Times New Roman" w:hAnsi="Times New Roman" w:cs="Times New Roman" w:eastAsiaTheme="minorEastAsia"/>
                <w:i w:val="0"/>
                <w:iCs w:val="0"/>
                <w:sz w:val="24"/>
                <w:szCs w:val="24"/>
                <w:lang w:eastAsia="zh-CN"/>
              </w:rPr>
            </w:pPr>
            <w:r>
              <w:rPr>
                <w:rFonts w:hint="eastAsia"/>
              </w:rPr>
              <w:t>1</w:t>
            </w:r>
            <w:r>
              <w:rPr>
                <w:rFonts w:hint="eastAsia"/>
                <w:lang w:val="en-US" w:eastAsia="zh-CN"/>
              </w:rPr>
              <w:t>2</w:t>
            </w:r>
          </w:p>
        </w:tc>
      </w:tr>
      <w:tr w14:paraId="6548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462F8BC4">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Risk of bias within individual studies</w:t>
            </w:r>
          </w:p>
        </w:tc>
        <w:tc>
          <w:tcPr>
            <w:tcW w:w="226" w:type="pct"/>
            <w:tcBorders>
              <w:top w:val="nil"/>
              <w:left w:val="nil"/>
              <w:bottom w:val="nil"/>
              <w:right w:val="nil"/>
            </w:tcBorders>
            <w:tcMar>
              <w:top w:w="60" w:type="dxa"/>
              <w:left w:w="80" w:type="dxa"/>
              <w:bottom w:w="60" w:type="dxa"/>
              <w:right w:w="80" w:type="dxa"/>
            </w:tcMar>
            <w:vAlign w:val="center"/>
          </w:tcPr>
          <w:p w14:paraId="51F2807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12</w:t>
            </w:r>
          </w:p>
        </w:tc>
        <w:tc>
          <w:tcPr>
            <w:tcW w:w="3587" w:type="pct"/>
            <w:tcBorders>
              <w:top w:val="nil"/>
              <w:left w:val="nil"/>
              <w:bottom w:val="nil"/>
              <w:right w:val="nil"/>
            </w:tcBorders>
            <w:tcMar>
              <w:top w:w="60" w:type="dxa"/>
              <w:left w:w="80" w:type="dxa"/>
              <w:bottom w:w="60" w:type="dxa"/>
              <w:right w:w="80" w:type="dxa"/>
            </w:tcMar>
            <w:vAlign w:val="center"/>
          </w:tcPr>
          <w:p w14:paraId="73EDC9E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methods used for assessing risk of bias of individual studies (including specification of whether this was done at the study or outcome level), and how this information is to be used in any data synthesis.</w:t>
            </w:r>
          </w:p>
        </w:tc>
        <w:tc>
          <w:tcPr>
            <w:tcW w:w="507" w:type="pct"/>
            <w:tcBorders>
              <w:top w:val="nil"/>
              <w:left w:val="nil"/>
              <w:bottom w:val="nil"/>
              <w:right w:val="nil"/>
            </w:tcBorders>
            <w:tcMar>
              <w:top w:w="60" w:type="dxa"/>
              <w:left w:w="80" w:type="dxa"/>
              <w:bottom w:w="60" w:type="dxa"/>
              <w:right w:w="80" w:type="dxa"/>
            </w:tcMar>
            <w:vAlign w:val="center"/>
          </w:tcPr>
          <w:p w14:paraId="2688F9A9">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r>
              <w:rPr>
                <w:rFonts w:hint="eastAsia"/>
                <w:lang w:val="en-US" w:eastAsia="zh-CN"/>
              </w:rPr>
              <w:t>20</w:t>
            </w:r>
          </w:p>
        </w:tc>
      </w:tr>
      <w:tr w14:paraId="27DF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7C5A0EDD">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Summary measures</w:t>
            </w:r>
          </w:p>
        </w:tc>
        <w:tc>
          <w:tcPr>
            <w:tcW w:w="226" w:type="pct"/>
            <w:tcBorders>
              <w:top w:val="nil"/>
              <w:left w:val="nil"/>
              <w:bottom w:val="nil"/>
              <w:right w:val="nil"/>
            </w:tcBorders>
            <w:tcMar>
              <w:top w:w="60" w:type="dxa"/>
              <w:left w:w="80" w:type="dxa"/>
              <w:bottom w:w="60" w:type="dxa"/>
              <w:right w:w="80" w:type="dxa"/>
            </w:tcMar>
            <w:vAlign w:val="center"/>
          </w:tcPr>
          <w:p w14:paraId="29509B86">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13</w:t>
            </w:r>
          </w:p>
        </w:tc>
        <w:tc>
          <w:tcPr>
            <w:tcW w:w="3587" w:type="pct"/>
            <w:tcBorders>
              <w:top w:val="nil"/>
              <w:left w:val="nil"/>
              <w:bottom w:val="nil"/>
              <w:right w:val="nil"/>
            </w:tcBorders>
            <w:tcMar>
              <w:top w:w="60" w:type="dxa"/>
              <w:left w:w="80" w:type="dxa"/>
              <w:bottom w:w="60" w:type="dxa"/>
              <w:right w:w="80" w:type="dxa"/>
            </w:tcMar>
            <w:vAlign w:val="center"/>
          </w:tcPr>
          <w:p w14:paraId="546B45B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State the principal summary measures (e.g.,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507" w:type="pct"/>
            <w:tcBorders>
              <w:top w:val="nil"/>
              <w:left w:val="nil"/>
              <w:bottom w:val="nil"/>
              <w:right w:val="nil"/>
            </w:tcBorders>
            <w:tcMar>
              <w:top w:w="60" w:type="dxa"/>
              <w:left w:w="80" w:type="dxa"/>
              <w:bottom w:w="60" w:type="dxa"/>
              <w:right w:w="80" w:type="dxa"/>
            </w:tcMar>
            <w:vAlign w:val="center"/>
          </w:tcPr>
          <w:p w14:paraId="520C1D96">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12</w:t>
            </w:r>
          </w:p>
        </w:tc>
      </w:tr>
      <w:tr w14:paraId="7818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2E8A32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Planned methods of analysis</w:t>
            </w:r>
          </w:p>
        </w:tc>
        <w:tc>
          <w:tcPr>
            <w:tcW w:w="226" w:type="pct"/>
            <w:tcBorders>
              <w:top w:val="nil"/>
              <w:left w:val="nil"/>
              <w:bottom w:val="nil"/>
              <w:right w:val="nil"/>
            </w:tcBorders>
            <w:tcMar>
              <w:top w:w="60" w:type="dxa"/>
              <w:left w:w="80" w:type="dxa"/>
              <w:bottom w:w="60" w:type="dxa"/>
              <w:right w:w="80" w:type="dxa"/>
            </w:tcMar>
            <w:vAlign w:val="center"/>
          </w:tcPr>
          <w:p w14:paraId="1DD81FF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14</w:t>
            </w:r>
          </w:p>
        </w:tc>
        <w:tc>
          <w:tcPr>
            <w:tcW w:w="3587" w:type="pct"/>
            <w:tcBorders>
              <w:top w:val="nil"/>
              <w:left w:val="nil"/>
              <w:bottom w:val="nil"/>
              <w:right w:val="nil"/>
            </w:tcBorders>
            <w:tcMar>
              <w:top w:w="60" w:type="dxa"/>
              <w:left w:w="80" w:type="dxa"/>
              <w:bottom w:w="60" w:type="dxa"/>
              <w:right w:w="80" w:type="dxa"/>
            </w:tcMar>
            <w:vAlign w:val="center"/>
          </w:tcPr>
          <w:p w14:paraId="53BAC0ED">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the methods of handling data and combining results of studies for each network meta-analysis. This should include, but is not limited to: handling of multi-arm trials; selection of variance structure; selection of prior distributions in Bayesian analyses; and assessment of model fit.</w:t>
            </w:r>
          </w:p>
        </w:tc>
        <w:tc>
          <w:tcPr>
            <w:tcW w:w="507" w:type="pct"/>
            <w:tcBorders>
              <w:top w:val="nil"/>
              <w:left w:val="nil"/>
              <w:bottom w:val="nil"/>
              <w:right w:val="nil"/>
            </w:tcBorders>
            <w:tcMar>
              <w:top w:w="60" w:type="dxa"/>
              <w:left w:w="80" w:type="dxa"/>
              <w:bottom w:w="60" w:type="dxa"/>
              <w:right w:w="80" w:type="dxa"/>
            </w:tcMar>
            <w:vAlign w:val="center"/>
          </w:tcPr>
          <w:p w14:paraId="232C5FCD">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r>
              <w:rPr>
                <w:rFonts w:hint="eastAsia"/>
                <w:lang w:val="en-US" w:eastAsia="zh-CN"/>
              </w:rPr>
              <w:t>12</w:t>
            </w:r>
          </w:p>
        </w:tc>
      </w:tr>
      <w:tr w14:paraId="0E14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3A27AF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Assessment of Inconsistency</w:t>
            </w:r>
          </w:p>
        </w:tc>
        <w:tc>
          <w:tcPr>
            <w:tcW w:w="226" w:type="pct"/>
            <w:tcBorders>
              <w:top w:val="nil"/>
              <w:left w:val="nil"/>
              <w:bottom w:val="nil"/>
              <w:right w:val="nil"/>
            </w:tcBorders>
            <w:tcMar>
              <w:top w:w="60" w:type="dxa"/>
              <w:left w:w="80" w:type="dxa"/>
              <w:bottom w:w="60" w:type="dxa"/>
              <w:right w:w="80" w:type="dxa"/>
            </w:tcMar>
            <w:vAlign w:val="center"/>
          </w:tcPr>
          <w:p w14:paraId="7AE15A7F">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S2</w:t>
            </w:r>
          </w:p>
        </w:tc>
        <w:tc>
          <w:tcPr>
            <w:tcW w:w="3587" w:type="pct"/>
            <w:tcBorders>
              <w:top w:val="nil"/>
              <w:left w:val="nil"/>
              <w:bottom w:val="nil"/>
              <w:right w:val="nil"/>
            </w:tcBorders>
            <w:tcMar>
              <w:top w:w="60" w:type="dxa"/>
              <w:left w:w="80" w:type="dxa"/>
              <w:bottom w:w="60" w:type="dxa"/>
              <w:right w:w="80" w:type="dxa"/>
            </w:tcMar>
            <w:vAlign w:val="center"/>
          </w:tcPr>
          <w:p w14:paraId="0ED8FEA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the statistical methods used to evaluate the agreement of direct and indirect evidence in the treatment network(s) studied. Describe efforts taken to address its presence when found.</w:t>
            </w:r>
          </w:p>
        </w:tc>
        <w:tc>
          <w:tcPr>
            <w:tcW w:w="507" w:type="pct"/>
            <w:tcBorders>
              <w:top w:val="nil"/>
              <w:left w:val="nil"/>
              <w:bottom w:val="nil"/>
              <w:right w:val="nil"/>
            </w:tcBorders>
            <w:tcMar>
              <w:top w:w="60" w:type="dxa"/>
              <w:left w:w="80" w:type="dxa"/>
              <w:bottom w:w="60" w:type="dxa"/>
              <w:right w:w="80" w:type="dxa"/>
            </w:tcMar>
            <w:vAlign w:val="center"/>
          </w:tcPr>
          <w:p w14:paraId="6241E90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eastAsia"/>
              </w:rPr>
              <w:t>1</w:t>
            </w:r>
            <w:r>
              <w:rPr>
                <w:rFonts w:hint="eastAsia"/>
                <w:lang w:val="en-US" w:eastAsia="zh-CN"/>
              </w:rPr>
              <w:t>2</w:t>
            </w:r>
          </w:p>
        </w:tc>
      </w:tr>
      <w:tr w14:paraId="5E76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AA0B0A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Risk of bias across studies</w:t>
            </w:r>
          </w:p>
        </w:tc>
        <w:tc>
          <w:tcPr>
            <w:tcW w:w="226" w:type="pct"/>
            <w:tcBorders>
              <w:top w:val="nil"/>
              <w:left w:val="nil"/>
              <w:bottom w:val="nil"/>
              <w:right w:val="nil"/>
            </w:tcBorders>
            <w:tcMar>
              <w:top w:w="60" w:type="dxa"/>
              <w:left w:w="80" w:type="dxa"/>
              <w:bottom w:w="60" w:type="dxa"/>
              <w:right w:w="80" w:type="dxa"/>
            </w:tcMar>
            <w:vAlign w:val="center"/>
          </w:tcPr>
          <w:p w14:paraId="0CCBDD68">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15</w:t>
            </w:r>
          </w:p>
        </w:tc>
        <w:tc>
          <w:tcPr>
            <w:tcW w:w="3587" w:type="pct"/>
            <w:tcBorders>
              <w:top w:val="nil"/>
              <w:left w:val="nil"/>
              <w:bottom w:val="nil"/>
              <w:right w:val="nil"/>
            </w:tcBorders>
            <w:tcMar>
              <w:top w:w="60" w:type="dxa"/>
              <w:left w:w="80" w:type="dxa"/>
              <w:bottom w:w="60" w:type="dxa"/>
              <w:right w:w="80" w:type="dxa"/>
            </w:tcMar>
            <w:vAlign w:val="center"/>
          </w:tcPr>
          <w:p w14:paraId="03C851F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Specify any assessment of risk of bias that may affect the cumulative evidence (e.g., publication bias, selective reporting within studies).</w:t>
            </w:r>
          </w:p>
        </w:tc>
        <w:tc>
          <w:tcPr>
            <w:tcW w:w="507" w:type="pct"/>
            <w:tcBorders>
              <w:top w:val="nil"/>
              <w:left w:val="nil"/>
              <w:bottom w:val="nil"/>
              <w:right w:val="nil"/>
            </w:tcBorders>
            <w:tcMar>
              <w:top w:w="60" w:type="dxa"/>
              <w:left w:w="80" w:type="dxa"/>
              <w:bottom w:w="60" w:type="dxa"/>
              <w:right w:w="80" w:type="dxa"/>
            </w:tcMar>
            <w:vAlign w:val="center"/>
          </w:tcPr>
          <w:p w14:paraId="0D1698C2">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13</w:t>
            </w:r>
          </w:p>
        </w:tc>
      </w:tr>
      <w:tr w14:paraId="6F01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79EEED2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Additional analyses</w:t>
            </w:r>
          </w:p>
        </w:tc>
        <w:tc>
          <w:tcPr>
            <w:tcW w:w="226" w:type="pct"/>
            <w:tcBorders>
              <w:top w:val="nil"/>
              <w:left w:val="nil"/>
              <w:bottom w:val="nil"/>
              <w:right w:val="nil"/>
            </w:tcBorders>
            <w:tcMar>
              <w:top w:w="60" w:type="dxa"/>
              <w:left w:w="80" w:type="dxa"/>
              <w:bottom w:w="60" w:type="dxa"/>
              <w:right w:w="80" w:type="dxa"/>
            </w:tcMar>
            <w:vAlign w:val="center"/>
          </w:tcPr>
          <w:p w14:paraId="19DEC3B8">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16</w:t>
            </w:r>
          </w:p>
        </w:tc>
        <w:tc>
          <w:tcPr>
            <w:tcW w:w="3587" w:type="pct"/>
            <w:tcBorders>
              <w:top w:val="nil"/>
              <w:left w:val="nil"/>
              <w:bottom w:val="nil"/>
              <w:right w:val="nil"/>
            </w:tcBorders>
            <w:tcMar>
              <w:top w:w="60" w:type="dxa"/>
              <w:left w:w="80" w:type="dxa"/>
              <w:bottom w:w="60" w:type="dxa"/>
              <w:right w:w="80" w:type="dxa"/>
            </w:tcMar>
            <w:vAlign w:val="center"/>
          </w:tcPr>
          <w:p w14:paraId="1FFDDAC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methods of additional analyses if done, indicating which were pre-specified. This may include, but is not limited to: sensitivity or subgroup analyses; meta-regression analyses; alternative formulations of the treatment network; and use of alternative prior distributions for Bayesian analyses (if applicable).</w:t>
            </w:r>
          </w:p>
        </w:tc>
        <w:tc>
          <w:tcPr>
            <w:tcW w:w="507" w:type="pct"/>
            <w:tcBorders>
              <w:top w:val="nil"/>
              <w:left w:val="nil"/>
              <w:bottom w:val="nil"/>
              <w:right w:val="nil"/>
            </w:tcBorders>
            <w:tcMar>
              <w:top w:w="60" w:type="dxa"/>
              <w:left w:w="80" w:type="dxa"/>
              <w:bottom w:w="60" w:type="dxa"/>
              <w:right w:w="80" w:type="dxa"/>
            </w:tcMar>
            <w:vAlign w:val="center"/>
          </w:tcPr>
          <w:p w14:paraId="40029477">
            <w:pPr>
              <w:snapToGrid w:val="0"/>
              <w:spacing w:line="360" w:lineRule="auto"/>
              <w:ind w:left="0" w:leftChars="0" w:right="0" w:rightChars="0" w:firstLine="0" w:firstLineChars="0"/>
              <w:jc w:val="center"/>
              <w:rPr>
                <w:rFonts w:hint="eastAsia" w:ascii="Times New Roman" w:hAnsi="Times New Roman" w:cs="Times New Roman" w:eastAsiaTheme="minorEastAsia"/>
                <w:i w:val="0"/>
                <w:iCs w:val="0"/>
                <w:sz w:val="24"/>
                <w:szCs w:val="24"/>
                <w:lang w:val="en-US" w:eastAsia="zh-CN"/>
              </w:rPr>
            </w:pPr>
            <w:r>
              <w:rPr>
                <w:rFonts w:hint="eastAsia"/>
              </w:rPr>
              <w:t>1</w:t>
            </w:r>
            <w:r>
              <w:rPr>
                <w:rFonts w:hint="eastAsia"/>
                <w:lang w:val="en-US" w:eastAsia="zh-CN"/>
              </w:rPr>
              <w:t>3</w:t>
            </w:r>
          </w:p>
        </w:tc>
      </w:tr>
      <w:tr w14:paraId="3878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78E49CD7">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229DFCED">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2D36EEA3">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08046FA6">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p>
        </w:tc>
      </w:tr>
      <w:tr w14:paraId="6B8F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18214A0E">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RESULTS</w:t>
            </w:r>
          </w:p>
        </w:tc>
      </w:tr>
      <w:tr w14:paraId="25AB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2D2EF5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Study selection</w:t>
            </w:r>
          </w:p>
        </w:tc>
        <w:tc>
          <w:tcPr>
            <w:tcW w:w="226" w:type="pct"/>
            <w:tcBorders>
              <w:top w:val="nil"/>
              <w:left w:val="nil"/>
              <w:bottom w:val="nil"/>
              <w:right w:val="nil"/>
            </w:tcBorders>
            <w:tcMar>
              <w:top w:w="60" w:type="dxa"/>
              <w:left w:w="80" w:type="dxa"/>
              <w:bottom w:w="60" w:type="dxa"/>
              <w:right w:w="80" w:type="dxa"/>
            </w:tcMar>
            <w:vAlign w:val="center"/>
          </w:tcPr>
          <w:p w14:paraId="1A72DD0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17</w:t>
            </w:r>
          </w:p>
        </w:tc>
        <w:tc>
          <w:tcPr>
            <w:tcW w:w="3587" w:type="pct"/>
            <w:tcBorders>
              <w:top w:val="nil"/>
              <w:left w:val="nil"/>
              <w:bottom w:val="nil"/>
              <w:right w:val="nil"/>
            </w:tcBorders>
            <w:tcMar>
              <w:top w:w="60" w:type="dxa"/>
              <w:left w:w="80" w:type="dxa"/>
              <w:bottom w:w="60" w:type="dxa"/>
              <w:right w:w="80" w:type="dxa"/>
            </w:tcMar>
            <w:vAlign w:val="center"/>
          </w:tcPr>
          <w:p w14:paraId="690B051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Give numbers of studies screened, assessed for eligibility, and included in the review, with reasons for exclusions at each stage, ideally with a flow diagram.</w:t>
            </w:r>
          </w:p>
        </w:tc>
        <w:tc>
          <w:tcPr>
            <w:tcW w:w="507" w:type="pct"/>
            <w:tcBorders>
              <w:top w:val="nil"/>
              <w:left w:val="nil"/>
              <w:bottom w:val="nil"/>
              <w:right w:val="nil"/>
            </w:tcBorders>
            <w:tcMar>
              <w:top w:w="60" w:type="dxa"/>
              <w:left w:w="80" w:type="dxa"/>
              <w:bottom w:w="60" w:type="dxa"/>
              <w:right w:w="80" w:type="dxa"/>
            </w:tcMar>
            <w:vAlign w:val="center"/>
          </w:tcPr>
          <w:p w14:paraId="35119E6A">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14</w:t>
            </w:r>
          </w:p>
        </w:tc>
      </w:tr>
      <w:tr w14:paraId="3BBC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190692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Presentation of network structure</w:t>
            </w:r>
          </w:p>
        </w:tc>
        <w:tc>
          <w:tcPr>
            <w:tcW w:w="226" w:type="pct"/>
            <w:tcBorders>
              <w:top w:val="nil"/>
              <w:left w:val="nil"/>
              <w:bottom w:val="nil"/>
              <w:right w:val="nil"/>
            </w:tcBorders>
            <w:tcMar>
              <w:top w:w="60" w:type="dxa"/>
              <w:left w:w="80" w:type="dxa"/>
              <w:bottom w:w="60" w:type="dxa"/>
              <w:right w:w="80" w:type="dxa"/>
            </w:tcMar>
            <w:vAlign w:val="center"/>
          </w:tcPr>
          <w:p w14:paraId="2642F824">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S3</w:t>
            </w:r>
          </w:p>
        </w:tc>
        <w:tc>
          <w:tcPr>
            <w:tcW w:w="3587" w:type="pct"/>
            <w:tcBorders>
              <w:top w:val="nil"/>
              <w:left w:val="nil"/>
              <w:bottom w:val="nil"/>
              <w:right w:val="nil"/>
            </w:tcBorders>
            <w:tcMar>
              <w:top w:w="60" w:type="dxa"/>
              <w:left w:w="80" w:type="dxa"/>
              <w:bottom w:w="60" w:type="dxa"/>
              <w:right w:w="80" w:type="dxa"/>
            </w:tcMar>
            <w:vAlign w:val="center"/>
          </w:tcPr>
          <w:p w14:paraId="54168F0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Provide a network graph of the included studies to enable visualization of the geometry of the treatment network.</w:t>
            </w:r>
          </w:p>
        </w:tc>
        <w:tc>
          <w:tcPr>
            <w:tcW w:w="507" w:type="pct"/>
            <w:tcBorders>
              <w:top w:val="nil"/>
              <w:left w:val="nil"/>
              <w:bottom w:val="nil"/>
              <w:right w:val="nil"/>
            </w:tcBorders>
            <w:tcMar>
              <w:top w:w="60" w:type="dxa"/>
              <w:left w:w="80" w:type="dxa"/>
              <w:bottom w:w="60" w:type="dxa"/>
              <w:right w:w="80" w:type="dxa"/>
            </w:tcMar>
            <w:vAlign w:val="center"/>
          </w:tcPr>
          <w:p w14:paraId="0B4635C1">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22</w:t>
            </w:r>
          </w:p>
        </w:tc>
      </w:tr>
      <w:tr w14:paraId="2BFC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E5E614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Summary of network geometry</w:t>
            </w:r>
          </w:p>
        </w:tc>
        <w:tc>
          <w:tcPr>
            <w:tcW w:w="226" w:type="pct"/>
            <w:tcBorders>
              <w:top w:val="nil"/>
              <w:left w:val="nil"/>
              <w:bottom w:val="nil"/>
              <w:right w:val="nil"/>
            </w:tcBorders>
            <w:tcMar>
              <w:top w:w="60" w:type="dxa"/>
              <w:left w:w="80" w:type="dxa"/>
              <w:bottom w:w="60" w:type="dxa"/>
              <w:right w:w="80" w:type="dxa"/>
            </w:tcMar>
            <w:vAlign w:val="center"/>
          </w:tcPr>
          <w:p w14:paraId="1554EB9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S4</w:t>
            </w:r>
          </w:p>
        </w:tc>
        <w:tc>
          <w:tcPr>
            <w:tcW w:w="3587" w:type="pct"/>
            <w:tcBorders>
              <w:top w:val="nil"/>
              <w:left w:val="nil"/>
              <w:bottom w:val="nil"/>
              <w:right w:val="nil"/>
            </w:tcBorders>
            <w:tcMar>
              <w:top w:w="60" w:type="dxa"/>
              <w:left w:w="80" w:type="dxa"/>
              <w:bottom w:w="60" w:type="dxa"/>
              <w:right w:w="80" w:type="dxa"/>
            </w:tcMar>
            <w:vAlign w:val="center"/>
          </w:tcPr>
          <w:p w14:paraId="63B5706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507" w:type="pct"/>
            <w:tcBorders>
              <w:top w:val="nil"/>
              <w:left w:val="nil"/>
              <w:bottom w:val="nil"/>
              <w:right w:val="nil"/>
            </w:tcBorders>
            <w:tcMar>
              <w:top w:w="60" w:type="dxa"/>
              <w:left w:w="80" w:type="dxa"/>
              <w:bottom w:w="60" w:type="dxa"/>
              <w:right w:w="80" w:type="dxa"/>
            </w:tcMar>
            <w:vAlign w:val="center"/>
          </w:tcPr>
          <w:p w14:paraId="683D7E0A">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22</w:t>
            </w:r>
          </w:p>
        </w:tc>
      </w:tr>
      <w:tr w14:paraId="1E2D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5923327">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Study characteristics</w:t>
            </w:r>
          </w:p>
        </w:tc>
        <w:tc>
          <w:tcPr>
            <w:tcW w:w="226" w:type="pct"/>
            <w:tcBorders>
              <w:top w:val="nil"/>
              <w:left w:val="nil"/>
              <w:bottom w:val="nil"/>
              <w:right w:val="nil"/>
            </w:tcBorders>
            <w:tcMar>
              <w:top w:w="60" w:type="dxa"/>
              <w:left w:w="80" w:type="dxa"/>
              <w:bottom w:w="60" w:type="dxa"/>
              <w:right w:w="80" w:type="dxa"/>
            </w:tcMar>
            <w:vAlign w:val="center"/>
          </w:tcPr>
          <w:p w14:paraId="5225CCC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18</w:t>
            </w:r>
          </w:p>
        </w:tc>
        <w:tc>
          <w:tcPr>
            <w:tcW w:w="3587" w:type="pct"/>
            <w:tcBorders>
              <w:top w:val="nil"/>
              <w:left w:val="nil"/>
              <w:bottom w:val="nil"/>
              <w:right w:val="nil"/>
            </w:tcBorders>
            <w:tcMar>
              <w:top w:w="60" w:type="dxa"/>
              <w:left w:w="80" w:type="dxa"/>
              <w:bottom w:w="60" w:type="dxa"/>
              <w:right w:w="80" w:type="dxa"/>
            </w:tcMar>
            <w:vAlign w:val="center"/>
          </w:tcPr>
          <w:p w14:paraId="7A068C5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For each study, present characteristics for which data were extracted (e.g., study size, PICOS, follow-up period) and provide the citations.</w:t>
            </w:r>
          </w:p>
        </w:tc>
        <w:tc>
          <w:tcPr>
            <w:tcW w:w="507" w:type="pct"/>
            <w:tcBorders>
              <w:top w:val="nil"/>
              <w:left w:val="nil"/>
              <w:bottom w:val="nil"/>
              <w:right w:val="nil"/>
            </w:tcBorders>
            <w:tcMar>
              <w:top w:w="60" w:type="dxa"/>
              <w:left w:w="80" w:type="dxa"/>
              <w:bottom w:w="60" w:type="dxa"/>
              <w:right w:w="80" w:type="dxa"/>
            </w:tcMar>
            <w:vAlign w:val="center"/>
          </w:tcPr>
          <w:p w14:paraId="4F840F39">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17</w:t>
            </w:r>
          </w:p>
        </w:tc>
      </w:tr>
      <w:tr w14:paraId="19EB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52AD10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Risk of bias within studies</w:t>
            </w:r>
          </w:p>
        </w:tc>
        <w:tc>
          <w:tcPr>
            <w:tcW w:w="226" w:type="pct"/>
            <w:tcBorders>
              <w:top w:val="nil"/>
              <w:left w:val="nil"/>
              <w:bottom w:val="nil"/>
              <w:right w:val="nil"/>
            </w:tcBorders>
            <w:tcMar>
              <w:top w:w="60" w:type="dxa"/>
              <w:left w:w="80" w:type="dxa"/>
              <w:bottom w:w="60" w:type="dxa"/>
              <w:right w:w="80" w:type="dxa"/>
            </w:tcMar>
            <w:vAlign w:val="center"/>
          </w:tcPr>
          <w:p w14:paraId="2E0FA8D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19</w:t>
            </w:r>
          </w:p>
        </w:tc>
        <w:tc>
          <w:tcPr>
            <w:tcW w:w="3587" w:type="pct"/>
            <w:tcBorders>
              <w:top w:val="nil"/>
              <w:left w:val="nil"/>
              <w:bottom w:val="nil"/>
              <w:right w:val="nil"/>
            </w:tcBorders>
            <w:tcMar>
              <w:top w:w="60" w:type="dxa"/>
              <w:left w:w="80" w:type="dxa"/>
              <w:bottom w:w="60" w:type="dxa"/>
              <w:right w:w="80" w:type="dxa"/>
            </w:tcMar>
            <w:vAlign w:val="center"/>
          </w:tcPr>
          <w:p w14:paraId="0D1D676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Present data on risk of bias of each study and, if available, any outcome level assessment.</w:t>
            </w:r>
          </w:p>
        </w:tc>
        <w:tc>
          <w:tcPr>
            <w:tcW w:w="507" w:type="pct"/>
            <w:tcBorders>
              <w:top w:val="nil"/>
              <w:left w:val="nil"/>
              <w:bottom w:val="nil"/>
              <w:right w:val="nil"/>
            </w:tcBorders>
            <w:tcMar>
              <w:top w:w="60" w:type="dxa"/>
              <w:left w:w="80" w:type="dxa"/>
              <w:bottom w:w="60" w:type="dxa"/>
              <w:right w:w="80" w:type="dxa"/>
            </w:tcMar>
            <w:vAlign w:val="center"/>
          </w:tcPr>
          <w:p w14:paraId="342E9A3D">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17</w:t>
            </w:r>
          </w:p>
        </w:tc>
      </w:tr>
      <w:tr w14:paraId="2843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94B0E5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Results of individual studies</w:t>
            </w:r>
          </w:p>
        </w:tc>
        <w:tc>
          <w:tcPr>
            <w:tcW w:w="226" w:type="pct"/>
            <w:tcBorders>
              <w:top w:val="nil"/>
              <w:left w:val="nil"/>
              <w:bottom w:val="nil"/>
              <w:right w:val="nil"/>
            </w:tcBorders>
            <w:tcMar>
              <w:top w:w="60" w:type="dxa"/>
              <w:left w:w="80" w:type="dxa"/>
              <w:bottom w:w="60" w:type="dxa"/>
              <w:right w:w="80" w:type="dxa"/>
            </w:tcMar>
            <w:vAlign w:val="center"/>
          </w:tcPr>
          <w:p w14:paraId="76F2B91E">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20</w:t>
            </w:r>
          </w:p>
        </w:tc>
        <w:tc>
          <w:tcPr>
            <w:tcW w:w="3587" w:type="pct"/>
            <w:tcBorders>
              <w:top w:val="nil"/>
              <w:left w:val="nil"/>
              <w:bottom w:val="nil"/>
              <w:right w:val="nil"/>
            </w:tcBorders>
            <w:tcMar>
              <w:top w:w="60" w:type="dxa"/>
              <w:left w:w="80" w:type="dxa"/>
              <w:bottom w:w="60" w:type="dxa"/>
              <w:right w:w="80" w:type="dxa"/>
            </w:tcMar>
            <w:vAlign w:val="center"/>
          </w:tcPr>
          <w:p w14:paraId="5A357C39">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For all outcomes considered (benefits or harms), present, for each study: 1) simple summary data for each intervention group, and 2) effect estimates and confidence intervals. Modified approaches may be needed to deal with information from larger networks.</w:t>
            </w:r>
          </w:p>
        </w:tc>
        <w:tc>
          <w:tcPr>
            <w:tcW w:w="507" w:type="pct"/>
            <w:tcBorders>
              <w:top w:val="nil"/>
              <w:left w:val="nil"/>
              <w:bottom w:val="nil"/>
              <w:right w:val="nil"/>
            </w:tcBorders>
            <w:tcMar>
              <w:top w:w="60" w:type="dxa"/>
              <w:left w:w="80" w:type="dxa"/>
              <w:bottom w:w="60" w:type="dxa"/>
              <w:right w:w="80" w:type="dxa"/>
            </w:tcMar>
            <w:vAlign w:val="center"/>
          </w:tcPr>
          <w:p w14:paraId="2076EC2A">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17,22-23</w:t>
            </w:r>
          </w:p>
        </w:tc>
      </w:tr>
      <w:tr w14:paraId="41A2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524501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Synthesis of results</w:t>
            </w:r>
          </w:p>
        </w:tc>
        <w:tc>
          <w:tcPr>
            <w:tcW w:w="226" w:type="pct"/>
            <w:tcBorders>
              <w:top w:val="nil"/>
              <w:left w:val="nil"/>
              <w:bottom w:val="nil"/>
              <w:right w:val="nil"/>
            </w:tcBorders>
            <w:tcMar>
              <w:top w:w="60" w:type="dxa"/>
              <w:left w:w="80" w:type="dxa"/>
              <w:bottom w:w="60" w:type="dxa"/>
              <w:right w:w="80" w:type="dxa"/>
            </w:tcMar>
            <w:vAlign w:val="center"/>
          </w:tcPr>
          <w:p w14:paraId="04FAD49A">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21</w:t>
            </w:r>
          </w:p>
        </w:tc>
        <w:tc>
          <w:tcPr>
            <w:tcW w:w="3587" w:type="pct"/>
            <w:tcBorders>
              <w:top w:val="nil"/>
              <w:left w:val="nil"/>
              <w:bottom w:val="nil"/>
              <w:right w:val="nil"/>
            </w:tcBorders>
            <w:tcMar>
              <w:top w:w="60" w:type="dxa"/>
              <w:left w:w="80" w:type="dxa"/>
              <w:bottom w:w="60" w:type="dxa"/>
              <w:right w:w="80" w:type="dxa"/>
            </w:tcMar>
            <w:vAlign w:val="center"/>
          </w:tcPr>
          <w:p w14:paraId="313FC1B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Present results of each meta-analysis done, including confidence/credible intervals. In larger networks, authors may focus on comparisons versus a particular comparator, with full findings presented in an appendix. League tables and forest plots may be considered to summarize pairwise comparisons. If additional summary measures were explored (such as treatment rankings), these should also be presented.</w:t>
            </w:r>
          </w:p>
        </w:tc>
        <w:tc>
          <w:tcPr>
            <w:tcW w:w="507" w:type="pct"/>
            <w:tcBorders>
              <w:top w:val="nil"/>
              <w:left w:val="nil"/>
              <w:bottom w:val="nil"/>
              <w:right w:val="nil"/>
            </w:tcBorders>
            <w:tcMar>
              <w:top w:w="60" w:type="dxa"/>
              <w:left w:w="80" w:type="dxa"/>
              <w:bottom w:w="60" w:type="dxa"/>
              <w:right w:w="80" w:type="dxa"/>
            </w:tcMar>
            <w:vAlign w:val="center"/>
          </w:tcPr>
          <w:p w14:paraId="66C6544B">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r>
              <w:rPr>
                <w:rFonts w:hint="eastAsia"/>
              </w:rPr>
              <w:t>23-24</w:t>
            </w:r>
          </w:p>
        </w:tc>
      </w:tr>
      <w:tr w14:paraId="76F2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39166AB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Exploration for inconsistency</w:t>
            </w:r>
          </w:p>
        </w:tc>
        <w:tc>
          <w:tcPr>
            <w:tcW w:w="226" w:type="pct"/>
            <w:tcBorders>
              <w:top w:val="nil"/>
              <w:left w:val="nil"/>
              <w:bottom w:val="nil"/>
              <w:right w:val="nil"/>
            </w:tcBorders>
            <w:tcMar>
              <w:top w:w="60" w:type="dxa"/>
              <w:left w:w="80" w:type="dxa"/>
              <w:bottom w:w="60" w:type="dxa"/>
              <w:right w:w="80" w:type="dxa"/>
            </w:tcMar>
            <w:vAlign w:val="center"/>
          </w:tcPr>
          <w:p w14:paraId="06B2FCE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S5</w:t>
            </w:r>
          </w:p>
        </w:tc>
        <w:tc>
          <w:tcPr>
            <w:tcW w:w="3587" w:type="pct"/>
            <w:tcBorders>
              <w:top w:val="nil"/>
              <w:left w:val="nil"/>
              <w:bottom w:val="nil"/>
              <w:right w:val="nil"/>
            </w:tcBorders>
            <w:tcMar>
              <w:top w:w="60" w:type="dxa"/>
              <w:left w:w="80" w:type="dxa"/>
              <w:bottom w:w="60" w:type="dxa"/>
              <w:right w:w="80" w:type="dxa"/>
            </w:tcMar>
            <w:vAlign w:val="center"/>
          </w:tcPr>
          <w:p w14:paraId="31BCE75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507" w:type="pct"/>
            <w:tcBorders>
              <w:top w:val="nil"/>
              <w:left w:val="nil"/>
              <w:bottom w:val="nil"/>
              <w:right w:val="nil"/>
            </w:tcBorders>
            <w:tcMar>
              <w:top w:w="60" w:type="dxa"/>
              <w:left w:w="80" w:type="dxa"/>
              <w:bottom w:w="60" w:type="dxa"/>
              <w:right w:w="80" w:type="dxa"/>
            </w:tcMar>
            <w:vAlign w:val="center"/>
          </w:tcPr>
          <w:p w14:paraId="5B270372">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22</w:t>
            </w:r>
          </w:p>
        </w:tc>
      </w:tr>
      <w:tr w14:paraId="4D11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F4CF59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Risk of bias across studies</w:t>
            </w:r>
          </w:p>
        </w:tc>
        <w:tc>
          <w:tcPr>
            <w:tcW w:w="226" w:type="pct"/>
            <w:tcBorders>
              <w:top w:val="nil"/>
              <w:left w:val="nil"/>
              <w:bottom w:val="nil"/>
              <w:right w:val="nil"/>
            </w:tcBorders>
            <w:tcMar>
              <w:top w:w="60" w:type="dxa"/>
              <w:left w:w="80" w:type="dxa"/>
              <w:bottom w:w="60" w:type="dxa"/>
              <w:right w:w="80" w:type="dxa"/>
            </w:tcMar>
            <w:vAlign w:val="center"/>
          </w:tcPr>
          <w:p w14:paraId="6D12064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22</w:t>
            </w:r>
          </w:p>
        </w:tc>
        <w:tc>
          <w:tcPr>
            <w:tcW w:w="3587" w:type="pct"/>
            <w:tcBorders>
              <w:top w:val="nil"/>
              <w:left w:val="nil"/>
              <w:bottom w:val="nil"/>
              <w:right w:val="nil"/>
            </w:tcBorders>
            <w:tcMar>
              <w:top w:w="60" w:type="dxa"/>
              <w:left w:w="80" w:type="dxa"/>
              <w:bottom w:w="60" w:type="dxa"/>
              <w:right w:w="80" w:type="dxa"/>
            </w:tcMar>
            <w:vAlign w:val="center"/>
          </w:tcPr>
          <w:p w14:paraId="1230653D">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Present results of any assessment of risk of bias across studies for the evidence base being studied.</w:t>
            </w:r>
          </w:p>
        </w:tc>
        <w:tc>
          <w:tcPr>
            <w:tcW w:w="507" w:type="pct"/>
            <w:tcBorders>
              <w:top w:val="nil"/>
              <w:left w:val="nil"/>
              <w:bottom w:val="nil"/>
              <w:right w:val="nil"/>
            </w:tcBorders>
            <w:tcMar>
              <w:top w:w="60" w:type="dxa"/>
              <w:left w:w="80" w:type="dxa"/>
              <w:bottom w:w="60" w:type="dxa"/>
              <w:right w:w="80" w:type="dxa"/>
            </w:tcMar>
            <w:vAlign w:val="center"/>
          </w:tcPr>
          <w:p w14:paraId="0377373A">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27</w:t>
            </w:r>
          </w:p>
        </w:tc>
      </w:tr>
      <w:tr w14:paraId="7169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0528A73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Results of additional analyses</w:t>
            </w:r>
          </w:p>
        </w:tc>
        <w:tc>
          <w:tcPr>
            <w:tcW w:w="226" w:type="pct"/>
            <w:tcBorders>
              <w:top w:val="nil"/>
              <w:left w:val="nil"/>
              <w:bottom w:val="nil"/>
              <w:right w:val="nil"/>
            </w:tcBorders>
            <w:tcMar>
              <w:top w:w="60" w:type="dxa"/>
              <w:left w:w="80" w:type="dxa"/>
              <w:bottom w:w="60" w:type="dxa"/>
              <w:right w:w="80" w:type="dxa"/>
            </w:tcMar>
            <w:vAlign w:val="center"/>
          </w:tcPr>
          <w:p w14:paraId="1400A1E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23</w:t>
            </w:r>
          </w:p>
        </w:tc>
        <w:tc>
          <w:tcPr>
            <w:tcW w:w="3587" w:type="pct"/>
            <w:tcBorders>
              <w:top w:val="nil"/>
              <w:left w:val="nil"/>
              <w:bottom w:val="nil"/>
              <w:right w:val="nil"/>
            </w:tcBorders>
            <w:tcMar>
              <w:top w:w="60" w:type="dxa"/>
              <w:left w:w="80" w:type="dxa"/>
              <w:bottom w:w="60" w:type="dxa"/>
              <w:right w:w="80" w:type="dxa"/>
            </w:tcMar>
            <w:vAlign w:val="center"/>
          </w:tcPr>
          <w:p w14:paraId="5B27990C">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Give results of additional analyses, if done (e.g., sensitivity or subgroup analyses, meta-regression analyses, alternative network geometries studied, alternative choice of prior distributions for Bayesian analyses, and so forth).</w:t>
            </w:r>
          </w:p>
        </w:tc>
        <w:tc>
          <w:tcPr>
            <w:tcW w:w="507" w:type="pct"/>
            <w:tcBorders>
              <w:top w:val="nil"/>
              <w:left w:val="nil"/>
              <w:bottom w:val="nil"/>
              <w:right w:val="nil"/>
            </w:tcBorders>
            <w:tcMar>
              <w:top w:w="60" w:type="dxa"/>
              <w:left w:w="80" w:type="dxa"/>
              <w:bottom w:w="60" w:type="dxa"/>
              <w:right w:w="80" w:type="dxa"/>
            </w:tcMar>
            <w:vAlign w:val="center"/>
          </w:tcPr>
          <w:p w14:paraId="328F8B05">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26</w:t>
            </w:r>
          </w:p>
        </w:tc>
      </w:tr>
      <w:tr w14:paraId="786E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1E49B575">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4DE898F5">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43C4D6D0">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012FC190">
            <w:pPr>
              <w:snapToGrid w:val="0"/>
              <w:spacing w:line="360" w:lineRule="auto"/>
              <w:ind w:left="0" w:leftChars="0" w:right="0" w:rightChars="0" w:firstLine="0" w:firstLineChars="0"/>
              <w:jc w:val="center"/>
              <w:rPr>
                <w:rFonts w:hint="default" w:ascii="Times New Roman" w:hAnsi="Times New Roman" w:cs="Times New Roman" w:eastAsiaTheme="minorEastAsia"/>
                <w:i w:val="0"/>
                <w:iCs w:val="0"/>
                <w:sz w:val="24"/>
                <w:szCs w:val="24"/>
                <w:lang w:val="en-US" w:eastAsia="zh-CN"/>
              </w:rPr>
            </w:pPr>
          </w:p>
        </w:tc>
      </w:tr>
      <w:tr w14:paraId="3F2F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28D97442">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DISCUSSION</w:t>
            </w:r>
          </w:p>
        </w:tc>
      </w:tr>
      <w:tr w14:paraId="2FAC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4B01F6D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Summary of evidence</w:t>
            </w:r>
          </w:p>
        </w:tc>
        <w:tc>
          <w:tcPr>
            <w:tcW w:w="226" w:type="pct"/>
            <w:tcBorders>
              <w:top w:val="nil"/>
              <w:left w:val="nil"/>
              <w:bottom w:val="nil"/>
              <w:right w:val="nil"/>
            </w:tcBorders>
            <w:tcMar>
              <w:top w:w="60" w:type="dxa"/>
              <w:left w:w="80" w:type="dxa"/>
              <w:bottom w:w="60" w:type="dxa"/>
              <w:right w:w="80" w:type="dxa"/>
            </w:tcMar>
            <w:vAlign w:val="center"/>
          </w:tcPr>
          <w:p w14:paraId="1AA82114">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24</w:t>
            </w:r>
          </w:p>
        </w:tc>
        <w:tc>
          <w:tcPr>
            <w:tcW w:w="3587" w:type="pct"/>
            <w:tcBorders>
              <w:top w:val="nil"/>
              <w:left w:val="nil"/>
              <w:bottom w:val="nil"/>
              <w:right w:val="nil"/>
            </w:tcBorders>
            <w:tcMar>
              <w:top w:w="60" w:type="dxa"/>
              <w:left w:w="80" w:type="dxa"/>
              <w:bottom w:w="60" w:type="dxa"/>
              <w:right w:w="80" w:type="dxa"/>
            </w:tcMar>
            <w:vAlign w:val="center"/>
          </w:tcPr>
          <w:p w14:paraId="46D54E4B">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Summarize the main findings, including the strength of evidence for each main outcome; consider their relevance to key groups (e.g., healthcare providers, users, and policy-makers).</w:t>
            </w:r>
          </w:p>
        </w:tc>
        <w:tc>
          <w:tcPr>
            <w:tcW w:w="507" w:type="pct"/>
            <w:tcBorders>
              <w:top w:val="nil"/>
              <w:left w:val="nil"/>
              <w:bottom w:val="nil"/>
              <w:right w:val="nil"/>
            </w:tcBorders>
            <w:tcMar>
              <w:top w:w="60" w:type="dxa"/>
              <w:left w:w="80" w:type="dxa"/>
              <w:bottom w:w="60" w:type="dxa"/>
              <w:right w:w="80" w:type="dxa"/>
            </w:tcMar>
            <w:vAlign w:val="center"/>
          </w:tcPr>
          <w:p w14:paraId="01886311">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28</w:t>
            </w:r>
          </w:p>
        </w:tc>
      </w:tr>
      <w:tr w14:paraId="4FB7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AC27F45">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Limitations</w:t>
            </w:r>
          </w:p>
        </w:tc>
        <w:tc>
          <w:tcPr>
            <w:tcW w:w="226" w:type="pct"/>
            <w:tcBorders>
              <w:top w:val="nil"/>
              <w:left w:val="nil"/>
              <w:bottom w:val="nil"/>
              <w:right w:val="nil"/>
            </w:tcBorders>
            <w:tcMar>
              <w:top w:w="60" w:type="dxa"/>
              <w:left w:w="80" w:type="dxa"/>
              <w:bottom w:w="60" w:type="dxa"/>
              <w:right w:w="80" w:type="dxa"/>
            </w:tcMar>
            <w:vAlign w:val="center"/>
          </w:tcPr>
          <w:p w14:paraId="0FE8BB33">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25</w:t>
            </w:r>
          </w:p>
        </w:tc>
        <w:tc>
          <w:tcPr>
            <w:tcW w:w="3587" w:type="pct"/>
            <w:tcBorders>
              <w:top w:val="nil"/>
              <w:left w:val="nil"/>
              <w:bottom w:val="nil"/>
              <w:right w:val="nil"/>
            </w:tcBorders>
            <w:tcMar>
              <w:top w:w="60" w:type="dxa"/>
              <w:left w:w="80" w:type="dxa"/>
              <w:bottom w:w="60" w:type="dxa"/>
              <w:right w:w="80" w:type="dxa"/>
            </w:tcMar>
            <w:vAlign w:val="center"/>
          </w:tcPr>
          <w:p w14:paraId="1D98560F">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Discuss limitations at study and outcome level (e.g., risk of bias), and at review level (e.g., incomplete retrieval of identified research, reporting bias). Comment on the validity of the assumptions, such as transitivity and consistency. Comment on any concerns regarding network geometry (e.g., avoidance of certain comparisons).</w:t>
            </w:r>
          </w:p>
        </w:tc>
        <w:tc>
          <w:tcPr>
            <w:tcW w:w="507" w:type="pct"/>
            <w:tcBorders>
              <w:top w:val="nil"/>
              <w:left w:val="nil"/>
              <w:bottom w:val="nil"/>
              <w:right w:val="nil"/>
            </w:tcBorders>
            <w:tcMar>
              <w:top w:w="60" w:type="dxa"/>
              <w:left w:w="80" w:type="dxa"/>
              <w:bottom w:w="60" w:type="dxa"/>
              <w:right w:w="80" w:type="dxa"/>
            </w:tcMar>
            <w:vAlign w:val="center"/>
          </w:tcPr>
          <w:p w14:paraId="13ADC205">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33</w:t>
            </w:r>
          </w:p>
        </w:tc>
      </w:tr>
      <w:tr w14:paraId="5B4F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4CA86DA0">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Conclusions</w:t>
            </w:r>
          </w:p>
        </w:tc>
        <w:tc>
          <w:tcPr>
            <w:tcW w:w="226" w:type="pct"/>
            <w:tcBorders>
              <w:top w:val="nil"/>
              <w:left w:val="nil"/>
              <w:bottom w:val="nil"/>
              <w:right w:val="nil"/>
            </w:tcBorders>
            <w:tcMar>
              <w:top w:w="60" w:type="dxa"/>
              <w:left w:w="80" w:type="dxa"/>
              <w:bottom w:w="60" w:type="dxa"/>
              <w:right w:w="80" w:type="dxa"/>
            </w:tcMar>
            <w:vAlign w:val="center"/>
          </w:tcPr>
          <w:p w14:paraId="7BB5ADA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26</w:t>
            </w:r>
          </w:p>
        </w:tc>
        <w:tc>
          <w:tcPr>
            <w:tcW w:w="3587" w:type="pct"/>
            <w:tcBorders>
              <w:top w:val="nil"/>
              <w:left w:val="nil"/>
              <w:bottom w:val="nil"/>
              <w:right w:val="nil"/>
            </w:tcBorders>
            <w:tcMar>
              <w:top w:w="60" w:type="dxa"/>
              <w:left w:w="80" w:type="dxa"/>
              <w:bottom w:w="60" w:type="dxa"/>
              <w:right w:w="80" w:type="dxa"/>
            </w:tcMar>
            <w:vAlign w:val="center"/>
          </w:tcPr>
          <w:p w14:paraId="3C28A944">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Provide a general interpretation of the results in the context of other evidence, and implications for future research.</w:t>
            </w:r>
          </w:p>
        </w:tc>
        <w:tc>
          <w:tcPr>
            <w:tcW w:w="507" w:type="pct"/>
            <w:tcBorders>
              <w:top w:val="nil"/>
              <w:left w:val="nil"/>
              <w:bottom w:val="nil"/>
              <w:right w:val="nil"/>
            </w:tcBorders>
            <w:tcMar>
              <w:top w:w="60" w:type="dxa"/>
              <w:left w:w="80" w:type="dxa"/>
              <w:bottom w:w="60" w:type="dxa"/>
              <w:right w:w="80" w:type="dxa"/>
            </w:tcMar>
            <w:vAlign w:val="center"/>
          </w:tcPr>
          <w:p w14:paraId="60A093CD">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eastAsia="宋体"/>
                <w:lang w:val="en-US" w:eastAsia="zh-CN"/>
              </w:rPr>
              <w:t>35</w:t>
            </w:r>
          </w:p>
        </w:tc>
      </w:tr>
      <w:tr w14:paraId="0114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nil"/>
              <w:right w:val="nil"/>
            </w:tcBorders>
            <w:tcMar>
              <w:top w:w="60" w:type="dxa"/>
              <w:left w:w="80" w:type="dxa"/>
              <w:bottom w:w="60" w:type="dxa"/>
              <w:right w:w="80" w:type="dxa"/>
            </w:tcMar>
            <w:vAlign w:val="center"/>
          </w:tcPr>
          <w:p w14:paraId="6B8D737C">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226" w:type="pct"/>
            <w:tcBorders>
              <w:top w:val="nil"/>
              <w:left w:val="nil"/>
              <w:bottom w:val="nil"/>
              <w:right w:val="nil"/>
            </w:tcBorders>
            <w:tcMar>
              <w:top w:w="60" w:type="dxa"/>
              <w:left w:w="80" w:type="dxa"/>
              <w:bottom w:w="60" w:type="dxa"/>
              <w:right w:w="80" w:type="dxa"/>
            </w:tcMar>
            <w:vAlign w:val="center"/>
          </w:tcPr>
          <w:p w14:paraId="373363FB">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3587" w:type="pct"/>
            <w:tcBorders>
              <w:top w:val="nil"/>
              <w:left w:val="nil"/>
              <w:bottom w:val="nil"/>
              <w:right w:val="nil"/>
            </w:tcBorders>
            <w:tcMar>
              <w:top w:w="60" w:type="dxa"/>
              <w:left w:w="80" w:type="dxa"/>
              <w:bottom w:w="60" w:type="dxa"/>
              <w:right w:w="80" w:type="dxa"/>
            </w:tcMar>
            <w:vAlign w:val="center"/>
          </w:tcPr>
          <w:p w14:paraId="577C7ADD">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c>
          <w:tcPr>
            <w:tcW w:w="507" w:type="pct"/>
            <w:tcBorders>
              <w:top w:val="nil"/>
              <w:left w:val="nil"/>
              <w:bottom w:val="nil"/>
              <w:right w:val="nil"/>
            </w:tcBorders>
            <w:tcMar>
              <w:top w:w="60" w:type="dxa"/>
              <w:left w:w="80" w:type="dxa"/>
              <w:bottom w:w="60" w:type="dxa"/>
              <w:right w:w="80" w:type="dxa"/>
            </w:tcMar>
            <w:vAlign w:val="center"/>
          </w:tcPr>
          <w:p w14:paraId="47E9FAF4">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p>
        </w:tc>
      </w:tr>
      <w:tr w14:paraId="6F22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000" w:type="pct"/>
            <w:gridSpan w:val="4"/>
            <w:tcBorders>
              <w:top w:val="nil"/>
              <w:left w:val="nil"/>
              <w:bottom w:val="nil"/>
              <w:right w:val="nil"/>
            </w:tcBorders>
            <w:tcMar>
              <w:top w:w="60" w:type="dxa"/>
              <w:left w:w="80" w:type="dxa"/>
              <w:bottom w:w="60" w:type="dxa"/>
              <w:right w:w="80" w:type="dxa"/>
            </w:tcMar>
            <w:vAlign w:val="center"/>
          </w:tcPr>
          <w:p w14:paraId="132FD242">
            <w:pPr>
              <w:snapToGrid w:val="0"/>
              <w:spacing w:line="360" w:lineRule="auto"/>
              <w:ind w:left="0" w:leftChars="0" w:right="0" w:rightChars="0" w:firstLine="0" w:firstLineChars="0"/>
              <w:jc w:val="center"/>
              <w:rPr>
                <w:rFonts w:hint="default" w:ascii="Times New Roman" w:hAnsi="Times New Roman" w:cs="Times New Roman"/>
                <w:i w:val="0"/>
                <w:iCs w:val="0"/>
                <w:sz w:val="24"/>
                <w:szCs w:val="24"/>
              </w:rPr>
            </w:pPr>
            <w:r>
              <w:rPr>
                <w:rFonts w:hint="default" w:ascii="Times New Roman" w:hAnsi="Times New Roman" w:eastAsia="Arial" w:cs="Times New Roman"/>
                <w:b/>
                <w:bCs/>
                <w:i w:val="0"/>
                <w:iCs w:val="0"/>
                <w:sz w:val="24"/>
                <w:szCs w:val="24"/>
              </w:rPr>
              <w:t>FUNDING</w:t>
            </w:r>
          </w:p>
        </w:tc>
      </w:tr>
      <w:tr w14:paraId="2017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678" w:type="pct"/>
            <w:tcBorders>
              <w:top w:val="nil"/>
              <w:left w:val="nil"/>
              <w:bottom w:val="single" w:color="auto" w:sz="4" w:space="0"/>
              <w:right w:val="nil"/>
            </w:tcBorders>
            <w:tcMar>
              <w:top w:w="60" w:type="dxa"/>
              <w:left w:w="80" w:type="dxa"/>
              <w:bottom w:w="60" w:type="dxa"/>
              <w:right w:w="80" w:type="dxa"/>
            </w:tcMar>
            <w:vAlign w:val="center"/>
          </w:tcPr>
          <w:p w14:paraId="63EB6BE1">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bCs/>
                <w:i w:val="0"/>
                <w:iCs w:val="0"/>
                <w:sz w:val="24"/>
                <w:szCs w:val="24"/>
              </w:rPr>
              <w:t>Funding</w:t>
            </w:r>
          </w:p>
        </w:tc>
        <w:tc>
          <w:tcPr>
            <w:tcW w:w="226" w:type="pct"/>
            <w:tcBorders>
              <w:top w:val="nil"/>
              <w:left w:val="nil"/>
              <w:bottom w:val="single" w:color="auto" w:sz="4" w:space="0"/>
              <w:right w:val="nil"/>
            </w:tcBorders>
            <w:tcMar>
              <w:top w:w="60" w:type="dxa"/>
              <w:left w:w="80" w:type="dxa"/>
              <w:bottom w:w="60" w:type="dxa"/>
              <w:right w:w="80" w:type="dxa"/>
            </w:tcMar>
            <w:vAlign w:val="center"/>
          </w:tcPr>
          <w:p w14:paraId="12C7B412">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27</w:t>
            </w:r>
          </w:p>
        </w:tc>
        <w:tc>
          <w:tcPr>
            <w:tcW w:w="3587" w:type="pct"/>
            <w:tcBorders>
              <w:top w:val="nil"/>
              <w:left w:val="nil"/>
              <w:bottom w:val="single" w:color="auto" w:sz="4" w:space="0"/>
              <w:right w:val="nil"/>
            </w:tcBorders>
            <w:tcMar>
              <w:top w:w="60" w:type="dxa"/>
              <w:left w:w="80" w:type="dxa"/>
              <w:bottom w:w="60" w:type="dxa"/>
              <w:right w:w="80" w:type="dxa"/>
            </w:tcMar>
            <w:vAlign w:val="center"/>
          </w:tcPr>
          <w:p w14:paraId="005AE78F">
            <w:pPr>
              <w:snapToGrid w:val="0"/>
              <w:spacing w:line="360" w:lineRule="auto"/>
              <w:ind w:left="0" w:leftChars="0" w:right="0" w:rightChars="0" w:firstLine="0" w:firstLineChars="0"/>
              <w:jc w:val="center"/>
              <w:rPr>
                <w:rFonts w:hint="default" w:ascii="Times New Roman" w:hAnsi="Times New Roman" w:eastAsia="Arial" w:cs="Times New Roman"/>
                <w:i w:val="0"/>
                <w:iCs w:val="0"/>
                <w:sz w:val="24"/>
                <w:szCs w:val="24"/>
              </w:rPr>
            </w:pPr>
            <w:r>
              <w:rPr>
                <w:rFonts w:hint="default" w:ascii="Times New Roman" w:hAnsi="Times New Roman" w:eastAsia="Arial" w:cs="Times New Roman"/>
                <w:b w:val="0"/>
                <w:bCs w:val="0"/>
                <w:i w:val="0"/>
                <w:iCs w:val="0"/>
                <w:sz w:val="24"/>
                <w:szCs w:val="24"/>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507" w:type="pct"/>
            <w:tcBorders>
              <w:top w:val="nil"/>
              <w:left w:val="nil"/>
              <w:bottom w:val="single" w:color="auto" w:sz="4" w:space="0"/>
              <w:right w:val="nil"/>
            </w:tcBorders>
            <w:tcMar>
              <w:top w:w="60" w:type="dxa"/>
              <w:left w:w="80" w:type="dxa"/>
              <w:bottom w:w="60" w:type="dxa"/>
              <w:right w:w="80" w:type="dxa"/>
            </w:tcMar>
            <w:vAlign w:val="center"/>
          </w:tcPr>
          <w:p w14:paraId="5181CEA4">
            <w:pPr>
              <w:snapToGrid w:val="0"/>
              <w:spacing w:line="360" w:lineRule="auto"/>
              <w:ind w:left="0" w:leftChars="0" w:right="0" w:rightChars="0" w:firstLine="0" w:firstLineChars="0"/>
              <w:jc w:val="center"/>
              <w:rPr>
                <w:rFonts w:hint="default" w:ascii="Times New Roman" w:hAnsi="Times New Roman" w:eastAsia="宋体" w:cs="Times New Roman"/>
                <w:i w:val="0"/>
                <w:iCs w:val="0"/>
                <w:sz w:val="24"/>
                <w:szCs w:val="24"/>
                <w:lang w:val="en-US" w:eastAsia="zh-CN"/>
              </w:rPr>
            </w:pPr>
            <w:r>
              <w:rPr>
                <w:rFonts w:hint="eastAsia" w:ascii="Times New Roman" w:hAnsi="Times New Roman" w:eastAsia="宋体" w:cs="Times New Roman"/>
                <w:b w:val="0"/>
                <w:bCs w:val="0"/>
                <w:i w:val="0"/>
                <w:iCs w:val="0"/>
                <w:sz w:val="24"/>
                <w:szCs w:val="24"/>
                <w:lang w:val="en-US" w:eastAsia="zh-CN"/>
              </w:rPr>
              <w:t>35</w:t>
            </w:r>
          </w:p>
        </w:tc>
      </w:tr>
    </w:tbl>
    <w:p w14:paraId="7CB19DAC">
      <w:pPr>
        <w:spacing w:before="60" w:after="0" w:line="360" w:lineRule="auto"/>
        <w:rPr>
          <w:rFonts w:hint="default" w:ascii="Times New Roman" w:hAnsi="Times New Roman" w:cs="Times New Roman"/>
          <w:i w:val="0"/>
          <w:iCs w:val="0"/>
          <w:sz w:val="24"/>
          <w:szCs w:val="24"/>
        </w:rPr>
      </w:pPr>
      <w:r>
        <w:rPr>
          <w:rFonts w:hint="default" w:ascii="Times New Roman" w:hAnsi="Times New Roman" w:eastAsia="Arial" w:cs="Times New Roman"/>
          <w:i w:val="0"/>
          <w:iCs w:val="0"/>
          <w:sz w:val="24"/>
          <w:szCs w:val="24"/>
        </w:rPr>
        <w:t>PICOS = population, intervention, comparators, outcomes, study design.</w:t>
      </w:r>
    </w:p>
    <w:p w14:paraId="4A05009F">
      <w:pPr>
        <w:spacing w:before="60" w:after="0" w:line="360" w:lineRule="auto"/>
        <w:rPr>
          <w:rFonts w:hint="default" w:ascii="Times New Roman" w:hAnsi="Times New Roman" w:cs="Times New Roman"/>
          <w:i w:val="0"/>
          <w:iCs w:val="0"/>
          <w:sz w:val="24"/>
          <w:szCs w:val="24"/>
        </w:rPr>
      </w:pPr>
      <w:r>
        <w:rPr>
          <w:rFonts w:hint="default" w:ascii="Times New Roman" w:hAnsi="Times New Roman" w:eastAsia="Arial" w:cs="Times New Roman"/>
          <w:i w:val="0"/>
          <w:iCs w:val="0"/>
          <w:sz w:val="24"/>
          <w:szCs w:val="24"/>
        </w:rPr>
        <w:t>Text in italics indicates wording specific to reporting of network meta-analyses that has been added to guidance from the PRISMA statement.</w:t>
      </w:r>
    </w:p>
    <w:p w14:paraId="1779E60A">
      <w:pPr>
        <w:spacing w:before="60" w:after="0" w:line="360" w:lineRule="auto"/>
        <w:rPr>
          <w:rFonts w:hint="default" w:ascii="Times New Roman" w:hAnsi="Times New Roman" w:cs="Times New Roman"/>
          <w:i w:val="0"/>
          <w:iCs w:val="0"/>
          <w:sz w:val="24"/>
          <w:szCs w:val="24"/>
        </w:rPr>
      </w:pPr>
      <w:r>
        <w:rPr>
          <w:rFonts w:hint="default" w:ascii="Times New Roman" w:hAnsi="Times New Roman" w:eastAsia="Arial" w:cs="Times New Roman"/>
          <w:i w:val="0"/>
          <w:iCs w:val="0"/>
          <w:sz w:val="24"/>
          <w:szCs w:val="24"/>
        </w:rPr>
        <w:t>Authors may wish to plan for use of appendices to present all relevant information in full detail for items in the Results section.</w:t>
      </w:r>
    </w:p>
    <w:p w14:paraId="7400F19D">
      <w:pPr>
        <w:spacing w:before="60" w:after="0" w:line="360" w:lineRule="auto"/>
        <w:rPr>
          <w:rFonts w:hint="default" w:ascii="Times New Roman" w:hAnsi="Times New Roman" w:eastAsia="Arial" w:cs="Times New Roman"/>
          <w:i w:val="0"/>
          <w:iCs w:val="0"/>
          <w:sz w:val="24"/>
          <w:szCs w:val="24"/>
        </w:rPr>
      </w:pPr>
      <w:r>
        <w:rPr>
          <w:rFonts w:hint="default" w:ascii="Times New Roman" w:hAnsi="Times New Roman" w:eastAsia="Arial" w:cs="Times New Roman"/>
          <w:i w:val="0"/>
          <w:iCs w:val="0"/>
          <w:sz w:val="24"/>
          <w:szCs w:val="24"/>
        </w:rPr>
        <w:t>Note: Page numbers refer to the manuscript page layout (approximate). "Suppl." indicates Supplementary Material.</w:t>
      </w:r>
    </w:p>
    <w:p w14:paraId="3126F9D0">
      <w:pPr>
        <w:spacing w:before="60" w:after="0" w:line="360" w:lineRule="auto"/>
        <w:rPr>
          <w:rFonts w:hint="default" w:ascii="Times New Roman" w:hAnsi="Times New Roman" w:eastAsia="Arial" w:cs="Times New Roman"/>
          <w:i w:val="0"/>
          <w:iCs w:val="0"/>
          <w:sz w:val="24"/>
          <w:szCs w:val="24"/>
        </w:rPr>
      </w:pPr>
    </w:p>
    <w:p w14:paraId="6DF7AFD9">
      <w:pPr>
        <w:spacing w:line="360" w:lineRule="auto"/>
        <w:ind w:firstLine="2168" w:firstLineChars="900"/>
        <w:rPr>
          <w:rFonts w:hint="default" w:ascii="Times New Roman" w:hAnsi="Times New Roman" w:cs="Times New Roman"/>
          <w:b/>
          <w:bCs/>
          <w:sz w:val="24"/>
          <w:szCs w:val="24"/>
        </w:rPr>
      </w:pPr>
    </w:p>
    <w:p w14:paraId="61BAE3CE">
      <w:pPr>
        <w:spacing w:line="360" w:lineRule="auto"/>
        <w:ind w:firstLine="2168" w:firstLineChars="900"/>
        <w:rPr>
          <w:rFonts w:hint="default" w:ascii="Times New Roman" w:hAnsi="Times New Roman" w:cs="Times New Roman"/>
          <w:b/>
          <w:bCs/>
          <w:sz w:val="24"/>
          <w:szCs w:val="24"/>
        </w:rPr>
      </w:pPr>
    </w:p>
    <w:p w14:paraId="6A56D963">
      <w:pPr>
        <w:spacing w:line="360" w:lineRule="auto"/>
        <w:ind w:firstLine="2168" w:firstLineChars="900"/>
        <w:rPr>
          <w:rFonts w:hint="default" w:ascii="Times New Roman" w:hAnsi="Times New Roman" w:cs="Times New Roman"/>
          <w:b/>
          <w:bCs/>
          <w:sz w:val="24"/>
          <w:szCs w:val="24"/>
        </w:rPr>
      </w:pPr>
    </w:p>
    <w:p w14:paraId="06D36671">
      <w:pPr>
        <w:spacing w:line="360" w:lineRule="auto"/>
        <w:ind w:firstLine="2168" w:firstLineChars="900"/>
        <w:rPr>
          <w:rFonts w:hint="default" w:ascii="Times New Roman" w:hAnsi="Times New Roman" w:cs="Times New Roman"/>
          <w:b/>
          <w:bCs/>
          <w:sz w:val="24"/>
          <w:szCs w:val="24"/>
        </w:rPr>
      </w:pPr>
    </w:p>
    <w:p w14:paraId="6DE514D1">
      <w:pPr>
        <w:spacing w:line="360" w:lineRule="auto"/>
        <w:ind w:firstLine="2168" w:firstLineChars="900"/>
        <w:rPr>
          <w:rFonts w:hint="default" w:ascii="Times New Roman" w:hAnsi="Times New Roman" w:cs="Times New Roman"/>
          <w:b/>
          <w:bCs/>
          <w:sz w:val="24"/>
          <w:szCs w:val="24"/>
        </w:rPr>
      </w:pPr>
    </w:p>
    <w:p w14:paraId="397CE815">
      <w:pPr>
        <w:spacing w:line="360" w:lineRule="auto"/>
        <w:ind w:firstLine="2168" w:firstLineChars="900"/>
        <w:rPr>
          <w:rFonts w:hint="default" w:ascii="Times New Roman" w:hAnsi="Times New Roman" w:cs="Times New Roman"/>
          <w:b/>
          <w:bCs/>
          <w:sz w:val="24"/>
          <w:szCs w:val="24"/>
        </w:rPr>
      </w:pPr>
    </w:p>
    <w:p w14:paraId="577FC8D3">
      <w:pPr>
        <w:spacing w:line="360" w:lineRule="auto"/>
        <w:ind w:firstLine="2168" w:firstLineChars="900"/>
        <w:rPr>
          <w:rFonts w:hint="default"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rPr>
        <w:t>Supplementary Table 2</w:t>
      </w:r>
      <w:r>
        <w:rPr>
          <w:rFonts w:hint="eastAsia" w:ascii="Times New Roman" w:hAnsi="Times New Roman" w:cs="Times New Roman"/>
          <w:b/>
          <w:bCs/>
          <w:sz w:val="24"/>
          <w:szCs w:val="24"/>
          <w:lang w:val="en-US" w:eastAsia="zh-CN"/>
        </w:rPr>
        <w:t>.</w:t>
      </w:r>
      <w:r>
        <w:rPr>
          <w:rFonts w:hint="eastAsia" w:ascii="Times New Roman" w:hAnsi="Times New Roman" w:cs="Times New Roman"/>
          <w:sz w:val="24"/>
          <w:szCs w:val="24"/>
          <w:lang w:val="en-US" w:eastAsia="zh-CN"/>
        </w:rPr>
        <w:t xml:space="preserve"> Concomitant Procedures in Each Treatment Arm Across Included Studies</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78"/>
        <w:gridCol w:w="661"/>
        <w:gridCol w:w="1830"/>
        <w:gridCol w:w="475"/>
        <w:gridCol w:w="1535"/>
        <w:gridCol w:w="1320"/>
        <w:gridCol w:w="1488"/>
        <w:gridCol w:w="5631"/>
      </w:tblGrid>
      <w:tr w14:paraId="3028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417"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48AF385E">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Study</w:t>
            </w:r>
          </w:p>
        </w:tc>
        <w:tc>
          <w:tcPr>
            <w:tcW w:w="234"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6BC231F2">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Design</w:t>
            </w:r>
          </w:p>
        </w:tc>
        <w:tc>
          <w:tcPr>
            <w:tcW w:w="648"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06C3A491">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Treatment Arm</w:t>
            </w:r>
          </w:p>
        </w:tc>
        <w:tc>
          <w:tcPr>
            <w:tcW w:w="168"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6764F0AB">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N</w:t>
            </w:r>
          </w:p>
        </w:tc>
        <w:tc>
          <w:tcPr>
            <w:tcW w:w="543"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18CF25AA">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LRR n (%)</w:t>
            </w:r>
          </w:p>
        </w:tc>
        <w:tc>
          <w:tcPr>
            <w:tcW w:w="467"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463D476B">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TTO n (%)</w:t>
            </w:r>
          </w:p>
        </w:tc>
        <w:tc>
          <w:tcPr>
            <w:tcW w:w="526"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709554DE">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Medialization n (%)</w:t>
            </w:r>
          </w:p>
        </w:tc>
        <w:tc>
          <w:tcPr>
            <w:tcW w:w="1994"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2E82C540">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1"/>
                <w:szCs w:val="21"/>
              </w:rPr>
            </w:pPr>
            <w:r>
              <w:rPr>
                <w:rFonts w:hint="default" w:ascii="Times New Roman" w:hAnsi="Times New Roman" w:eastAsia="Arial" w:cs="Times New Roman"/>
                <w:b/>
                <w:bCs/>
                <w:color w:val="auto"/>
                <w:sz w:val="21"/>
                <w:szCs w:val="21"/>
              </w:rPr>
              <w:t>Notes</w:t>
            </w:r>
          </w:p>
        </w:tc>
      </w:tr>
      <w:tr w14:paraId="161B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7401B5EC">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Astur</w:t>
            </w:r>
            <w:r>
              <w:rPr>
                <w:rFonts w:hint="default" w:ascii="Times New Roman" w:hAnsi="Times New Roman" w:eastAsia="Arial" w:cs="Times New Roman"/>
                <w:sz w:val="21"/>
                <w:szCs w:val="21"/>
                <w:vertAlign w:val="superscript"/>
              </w:rPr>
              <w:t>[34]</w:t>
            </w:r>
          </w:p>
        </w:tc>
        <w:tc>
          <w:tcPr>
            <w:tcW w:w="234" w:type="pct"/>
            <w:vMerge w:val="restar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5F0476FC">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RCT</w:t>
            </w:r>
          </w:p>
        </w:tc>
        <w:tc>
          <w:tcPr>
            <w:tcW w:w="648"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7FADFCBC">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Endobutton fixation</w:t>
            </w:r>
          </w:p>
        </w:tc>
        <w:tc>
          <w:tcPr>
            <w:tcW w:w="168"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08E2F44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30</w:t>
            </w:r>
          </w:p>
        </w:tc>
        <w:tc>
          <w:tcPr>
            <w:tcW w:w="543"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15902B2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2FF88F3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4644D29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06F0EDD6">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266F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3F670C9C">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413EF5B4">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7DB1534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Anchor fixation</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18E81FCD">
            <w:pPr>
              <w:snapToGrid w:val="0"/>
              <w:spacing w:before="0" w:after="0" w:line="360" w:lineRule="auto"/>
              <w:ind w:left="0" w:leftChars="0" w:right="0" w:rightChars="0" w:firstLine="0" w:firstLineChars="0"/>
              <w:jc w:val="right"/>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28</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57AF8A2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5DCC0DC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229DE48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0B65CA5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All patients with additional procedures were excluded</w:t>
            </w:r>
          </w:p>
        </w:tc>
      </w:tr>
      <w:tr w14:paraId="544C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0876C05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Li</w:t>
            </w:r>
            <w:r>
              <w:rPr>
                <w:rFonts w:hint="default" w:ascii="Times New Roman" w:hAnsi="Times New Roman" w:eastAsia="Arial" w:cs="Times New Roman"/>
                <w:sz w:val="21"/>
                <w:szCs w:val="21"/>
                <w:vertAlign w:val="superscript"/>
              </w:rPr>
              <w:t>[35]</w:t>
            </w:r>
          </w:p>
        </w:tc>
        <w:tc>
          <w:tcPr>
            <w:tcW w:w="234"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012CAF2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RCT</w:t>
            </w: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6E0E98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Transpatellar tunnel</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B4745C2">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43</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4670333">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429151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777A639">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0CCA58B">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4E4D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0943B5D2">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7F1950E4">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653BF70">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Double-anchor</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4C1C31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45</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106EC6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2A9D48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0928A4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AA97C9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TTO was an exclusion criterion</w:t>
            </w:r>
          </w:p>
        </w:tc>
      </w:tr>
      <w:tr w14:paraId="2C32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356D085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Ji</w:t>
            </w:r>
            <w:r>
              <w:rPr>
                <w:rFonts w:hint="default" w:ascii="Times New Roman" w:hAnsi="Times New Roman" w:eastAsia="Arial" w:cs="Times New Roman"/>
                <w:sz w:val="21"/>
                <w:szCs w:val="21"/>
                <w:vertAlign w:val="superscript"/>
              </w:rPr>
              <w:t>[33]</w:t>
            </w:r>
          </w:p>
        </w:tc>
        <w:tc>
          <w:tcPr>
            <w:tcW w:w="234"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2535CC8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RCS</w:t>
            </w: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1537E45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Semi-tunnel bone bridge</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29DC7FB2">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30</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1DA8962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12 (40.0%)</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20DC35D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7CE26BA3">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5B946ECA">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1D775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75404BAC">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5F7F4A03">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5A01E76B">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Suture anchor</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7DC3DFE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30</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456FF39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10 (33.3%)</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32E5E6A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2D9EE21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028EF4DE">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LRR performed selectively; TTO was an exclusion criterion</w:t>
            </w:r>
          </w:p>
        </w:tc>
      </w:tr>
      <w:tr w14:paraId="1353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5C7642C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Ye</w:t>
            </w:r>
            <w:r>
              <w:rPr>
                <w:rFonts w:hint="default" w:ascii="Times New Roman" w:hAnsi="Times New Roman" w:eastAsia="Arial" w:cs="Times New Roman"/>
                <w:sz w:val="21"/>
                <w:szCs w:val="21"/>
                <w:vertAlign w:val="superscript"/>
              </w:rPr>
              <w:t>[40]</w:t>
            </w:r>
          </w:p>
        </w:tc>
        <w:tc>
          <w:tcPr>
            <w:tcW w:w="234"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6B248CB5">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PCS</w:t>
            </w: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A9CB189">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Triple-tunnel</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858041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34</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D349F2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9 (26.5%)</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34A0D1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6A488D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F97061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0A74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734C662D">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04D05D01">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7E86C81">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Double-anchor</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67BA3BC">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31</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E6D760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8 (25.8%)</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6D3682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C44F87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1289FA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LRR performed selectively; TTO was an exclusion criterion</w:t>
            </w:r>
          </w:p>
        </w:tc>
      </w:tr>
      <w:tr w14:paraId="271A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1F956390">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Sun</w:t>
            </w:r>
            <w:r>
              <w:rPr>
                <w:rFonts w:hint="default" w:ascii="Times New Roman" w:hAnsi="Times New Roman" w:eastAsia="Arial" w:cs="Times New Roman"/>
                <w:sz w:val="21"/>
                <w:szCs w:val="21"/>
                <w:vertAlign w:val="superscript"/>
              </w:rPr>
              <w:t>[41]</w:t>
            </w:r>
          </w:p>
        </w:tc>
        <w:tc>
          <w:tcPr>
            <w:tcW w:w="234"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58B3098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RCS</w:t>
            </w: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6C0AF76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Triple-tunnel</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034D446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39</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0DBA310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0BB8B4E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42776D5A">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16425345">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389A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37FBF7CB">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314AB3E7">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1909011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Double-anchor</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702E361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36</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565D2659">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72AA988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3F9EFA8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2902C92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TTO was an exclusion criterion; LRR performed selectively</w:t>
            </w:r>
          </w:p>
        </w:tc>
      </w:tr>
      <w:tr w14:paraId="58CC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417"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1A4EBB6B">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Wang</w:t>
            </w:r>
            <w:r>
              <w:rPr>
                <w:rFonts w:hint="default" w:ascii="Times New Roman" w:hAnsi="Times New Roman" w:eastAsia="Arial" w:cs="Times New Roman"/>
                <w:sz w:val="21"/>
                <w:szCs w:val="21"/>
                <w:vertAlign w:val="superscript"/>
              </w:rPr>
              <w:t>[37]</w:t>
            </w:r>
          </w:p>
        </w:tc>
        <w:tc>
          <w:tcPr>
            <w:tcW w:w="234"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36F60AE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RCT</w:t>
            </w: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A599608">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Modified single tunnel</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2BBB71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30</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8272CF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974566B">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245802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B695698">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00F9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62D3A6E1">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61B5754E">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EDDED5A">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Double-anchor</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F103F5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31</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EAE779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427EF09">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3FD409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DA2EB1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No concomitant procedures; pathological TT-TG was an exclusion criterion</w:t>
            </w:r>
          </w:p>
        </w:tc>
      </w:tr>
      <w:tr w14:paraId="32CB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2CD3377A">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Huo</w:t>
            </w:r>
            <w:r>
              <w:rPr>
                <w:rFonts w:hint="default" w:ascii="Times New Roman" w:hAnsi="Times New Roman" w:eastAsia="Arial" w:cs="Times New Roman"/>
                <w:sz w:val="21"/>
                <w:szCs w:val="21"/>
                <w:vertAlign w:val="superscript"/>
              </w:rPr>
              <w:t>[36]</w:t>
            </w:r>
          </w:p>
        </w:tc>
        <w:tc>
          <w:tcPr>
            <w:tcW w:w="234"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62E71F5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RCS</w:t>
            </w: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0D4936E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Semi-tunnel bone bridge</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01198DC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48</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3F94CF7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Selective</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60A216D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54B5398A">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6408BF03">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2E4D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61246142">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30B59509">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1A9F0D5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Double-anchor</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50554A8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42</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4FC7090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Selective</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32DAF12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680B9E2A">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711B442E">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0A47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32FCD2E4">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26F2EEA4">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6E3773E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Single-tunnel</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0E340DB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40</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2C8CF3A5">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Selective</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63155F3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66C7E8FB">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30F24E6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LRR when excessive lateral tension; TTO excluded</w:t>
            </w:r>
          </w:p>
        </w:tc>
      </w:tr>
      <w:tr w14:paraId="191E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3C2DE07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Qiao</w:t>
            </w:r>
            <w:r>
              <w:rPr>
                <w:rFonts w:hint="default" w:ascii="Times New Roman" w:hAnsi="Times New Roman" w:eastAsia="Arial" w:cs="Times New Roman"/>
                <w:sz w:val="21"/>
                <w:szCs w:val="21"/>
                <w:vertAlign w:val="superscript"/>
              </w:rPr>
              <w:t>[43]</w:t>
            </w:r>
          </w:p>
        </w:tc>
        <w:tc>
          <w:tcPr>
            <w:tcW w:w="234"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2FBD72C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RCT</w:t>
            </w: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C42F4EA">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Single-tunnel</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705538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48</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DF114BC">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All patients</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3693AB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91C19D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8CF64F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5599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21998EA5">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0C599C46">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1F661A1">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Double-tunnel</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FA0890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42</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17D90B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All patients</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90D5D35">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01A330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385AB3C">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83/90 patients received tibial tubercle medialization (TT-TG &gt;15 mm); per-arm breakdown not separately reported</w:t>
            </w:r>
          </w:p>
        </w:tc>
      </w:tr>
      <w:tr w14:paraId="03DB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4D8E608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Ercan</w:t>
            </w:r>
            <w:r>
              <w:rPr>
                <w:rFonts w:hint="default" w:ascii="Times New Roman" w:hAnsi="Times New Roman" w:eastAsia="Arial" w:cs="Times New Roman"/>
                <w:sz w:val="21"/>
                <w:szCs w:val="21"/>
                <w:vertAlign w:val="superscript"/>
              </w:rPr>
              <w:t>[42]</w:t>
            </w:r>
          </w:p>
        </w:tc>
        <w:tc>
          <w:tcPr>
            <w:tcW w:w="234"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5AA70AAC">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RCT</w:t>
            </w: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6EA4646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Single-tunnel</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7076B4BA">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40</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5933587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7E464A4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7D6E3EC3">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7F1FB346">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27B5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vAlign w:val="center"/>
          </w:tcPr>
          <w:p w14:paraId="270DEB80">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vAlign w:val="center"/>
          </w:tcPr>
          <w:p w14:paraId="5A016E19">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30B830A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Double-tunnel</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75B4B15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40</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47B3332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4E535FFC">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645A797F">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35AAA9E1">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No LRR; patients requiring distal alignment procedures were excluded</w:t>
            </w:r>
          </w:p>
        </w:tc>
      </w:tr>
      <w:tr w14:paraId="166A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5D7BDDE6">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Samanta</w:t>
            </w:r>
            <w:r>
              <w:rPr>
                <w:rFonts w:hint="default" w:ascii="Times New Roman" w:hAnsi="Times New Roman" w:eastAsia="Arial" w:cs="Times New Roman"/>
                <w:sz w:val="21"/>
                <w:szCs w:val="21"/>
                <w:vertAlign w:val="superscript"/>
              </w:rPr>
              <w:t>[38]</w:t>
            </w:r>
          </w:p>
        </w:tc>
        <w:tc>
          <w:tcPr>
            <w:tcW w:w="234" w:type="pct"/>
            <w:vMerge w:val="restart"/>
            <w:tcBorders>
              <w:top w:val="nil"/>
              <w:left w:val="nil"/>
              <w:bottom w:val="nil"/>
              <w:right w:val="nil"/>
            </w:tcBorders>
            <w:shd w:val="clear" w:color="auto" w:fill="FFFFFF" w:themeFill="background1"/>
            <w:tcMar>
              <w:top w:w="40" w:type="dxa"/>
              <w:left w:w="80" w:type="dxa"/>
              <w:bottom w:w="40" w:type="dxa"/>
              <w:right w:w="80" w:type="dxa"/>
            </w:tcMar>
            <w:vAlign w:val="center"/>
          </w:tcPr>
          <w:p w14:paraId="49B84F8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PCS</w:t>
            </w: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9D67DBE">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Suture anchor</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667693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10</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060BEF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50360CE">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CC3C307">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3B9BFF3">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20D1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391D459C">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3014E66F">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B2D191E">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Implant-less</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C81852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10</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228E276">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07DC4AC">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A505701">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1C51994">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1493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nil"/>
              <w:right w:val="nil"/>
            </w:tcBorders>
            <w:shd w:val="clear" w:color="auto" w:fill="FFFFFF" w:themeFill="background1"/>
            <w:vAlign w:val="center"/>
          </w:tcPr>
          <w:p w14:paraId="2E11783A">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nil"/>
              <w:right w:val="nil"/>
            </w:tcBorders>
            <w:shd w:val="clear" w:color="auto" w:fill="FFFFFF" w:themeFill="background1"/>
            <w:vAlign w:val="center"/>
          </w:tcPr>
          <w:p w14:paraId="78001373">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B31B699">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Quadriceps tendon screw</w:t>
            </w:r>
          </w:p>
        </w:tc>
        <w:tc>
          <w:tcPr>
            <w:tcW w:w="168"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F6BB614">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10</w:t>
            </w:r>
          </w:p>
        </w:tc>
        <w:tc>
          <w:tcPr>
            <w:tcW w:w="54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A300EC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Not reported</w:t>
            </w:r>
          </w:p>
        </w:tc>
        <w:tc>
          <w:tcPr>
            <w:tcW w:w="46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BDE9169">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526"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FA87C29">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0 (0%)</w:t>
            </w:r>
          </w:p>
        </w:tc>
        <w:tc>
          <w:tcPr>
            <w:tcW w:w="1994"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54334B4A">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Isolated MPFLR only; history of TTT was an exclusion criterion</w:t>
            </w:r>
          </w:p>
        </w:tc>
      </w:tr>
      <w:tr w14:paraId="40A8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09FB0B2D">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Moran</w:t>
            </w:r>
            <w:r>
              <w:rPr>
                <w:rFonts w:hint="default" w:ascii="Times New Roman" w:hAnsi="Times New Roman" w:eastAsia="Arial" w:cs="Times New Roman"/>
                <w:sz w:val="21"/>
                <w:szCs w:val="21"/>
                <w:vertAlign w:val="superscript"/>
              </w:rPr>
              <w:t>[39]</w:t>
            </w:r>
          </w:p>
        </w:tc>
        <w:tc>
          <w:tcPr>
            <w:tcW w:w="234" w:type="pct"/>
            <w:vMerge w:val="restart"/>
            <w:tcBorders>
              <w:top w:val="nil"/>
              <w:left w:val="nil"/>
              <w:bottom w:val="nil"/>
              <w:right w:val="nil"/>
            </w:tcBorders>
            <w:shd w:val="clear" w:color="auto" w:fill="FFFFFF"/>
            <w:tcMar>
              <w:top w:w="40" w:type="dxa"/>
              <w:left w:w="80" w:type="dxa"/>
              <w:bottom w:w="40" w:type="dxa"/>
              <w:right w:w="80" w:type="dxa"/>
            </w:tcMar>
            <w:vAlign w:val="center"/>
          </w:tcPr>
          <w:p w14:paraId="0125E24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RCS</w:t>
            </w:r>
          </w:p>
        </w:tc>
        <w:tc>
          <w:tcPr>
            <w:tcW w:w="648" w:type="pct"/>
            <w:tcBorders>
              <w:top w:val="nil"/>
              <w:left w:val="nil"/>
              <w:bottom w:val="nil"/>
              <w:right w:val="nil"/>
            </w:tcBorders>
            <w:shd w:val="clear" w:color="auto" w:fill="FFFFFF"/>
            <w:tcMar>
              <w:top w:w="40" w:type="dxa"/>
              <w:left w:w="80" w:type="dxa"/>
              <w:bottom w:w="40" w:type="dxa"/>
              <w:right w:w="80" w:type="dxa"/>
            </w:tcMar>
            <w:vAlign w:val="center"/>
          </w:tcPr>
          <w:p w14:paraId="68477032">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Small oblique tunnel</w:t>
            </w:r>
          </w:p>
        </w:tc>
        <w:tc>
          <w:tcPr>
            <w:tcW w:w="168" w:type="pct"/>
            <w:tcBorders>
              <w:top w:val="nil"/>
              <w:left w:val="nil"/>
              <w:bottom w:val="nil"/>
              <w:right w:val="nil"/>
            </w:tcBorders>
            <w:shd w:val="clear" w:color="auto" w:fill="FFFFFF"/>
            <w:tcMar>
              <w:top w:w="40" w:type="dxa"/>
              <w:left w:w="80" w:type="dxa"/>
              <w:bottom w:w="40" w:type="dxa"/>
              <w:right w:w="80" w:type="dxa"/>
            </w:tcMar>
            <w:vAlign w:val="center"/>
          </w:tcPr>
          <w:p w14:paraId="7A2CFB0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342</w:t>
            </w:r>
          </w:p>
        </w:tc>
        <w:tc>
          <w:tcPr>
            <w:tcW w:w="543" w:type="pct"/>
            <w:tcBorders>
              <w:top w:val="nil"/>
              <w:left w:val="nil"/>
              <w:bottom w:val="nil"/>
              <w:right w:val="nil"/>
            </w:tcBorders>
            <w:shd w:val="clear" w:color="auto" w:fill="FFFFFF"/>
            <w:tcMar>
              <w:top w:w="40" w:type="dxa"/>
              <w:left w:w="80" w:type="dxa"/>
              <w:bottom w:w="40" w:type="dxa"/>
              <w:right w:w="80" w:type="dxa"/>
            </w:tcMar>
            <w:vAlign w:val="center"/>
          </w:tcPr>
          <w:p w14:paraId="5428DAA0">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168 (49.1%)b</w:t>
            </w:r>
          </w:p>
        </w:tc>
        <w:tc>
          <w:tcPr>
            <w:tcW w:w="467" w:type="pct"/>
            <w:tcBorders>
              <w:top w:val="nil"/>
              <w:left w:val="nil"/>
              <w:bottom w:val="nil"/>
              <w:right w:val="nil"/>
            </w:tcBorders>
            <w:shd w:val="clear" w:color="auto" w:fill="FFFFFF"/>
            <w:tcMar>
              <w:top w:w="40" w:type="dxa"/>
              <w:left w:w="80" w:type="dxa"/>
              <w:bottom w:w="40" w:type="dxa"/>
              <w:right w:w="80" w:type="dxa"/>
            </w:tcMar>
            <w:vAlign w:val="center"/>
          </w:tcPr>
          <w:p w14:paraId="506723A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210 (61.</w:t>
            </w:r>
            <w:r>
              <w:rPr>
                <w:rFonts w:hint="eastAsia" w:ascii="Times New Roman" w:hAnsi="Times New Roman" w:eastAsia="宋体" w:cs="Times New Roman"/>
                <w:sz w:val="21"/>
                <w:szCs w:val="21"/>
                <w:lang w:val="en-US" w:eastAsia="zh-CN"/>
              </w:rPr>
              <w:t>4</w:t>
            </w:r>
            <w:r>
              <w:rPr>
                <w:rFonts w:hint="default" w:ascii="Times New Roman" w:hAnsi="Times New Roman" w:eastAsia="Arial" w:cs="Times New Roman"/>
                <w:sz w:val="21"/>
                <w:szCs w:val="21"/>
              </w:rPr>
              <w:t>%)c</w:t>
            </w:r>
          </w:p>
        </w:tc>
        <w:tc>
          <w:tcPr>
            <w:tcW w:w="526" w:type="pct"/>
            <w:tcBorders>
              <w:top w:val="nil"/>
              <w:left w:val="nil"/>
              <w:bottom w:val="nil"/>
              <w:right w:val="nil"/>
            </w:tcBorders>
            <w:shd w:val="clear" w:color="auto" w:fill="FFFFFF"/>
            <w:tcMar>
              <w:top w:w="40" w:type="dxa"/>
              <w:left w:w="80" w:type="dxa"/>
              <w:bottom w:w="40" w:type="dxa"/>
              <w:right w:w="80" w:type="dxa"/>
            </w:tcMar>
            <w:vAlign w:val="center"/>
          </w:tcPr>
          <w:p w14:paraId="32227048">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 xml:space="preserve">Not </w:t>
            </w:r>
            <w:r>
              <w:rPr>
                <w:rFonts w:hint="eastAsia" w:ascii="Times New Roman" w:hAnsi="Times New Roman" w:eastAsia="宋体" w:cs="Times New Roman"/>
                <w:sz w:val="21"/>
                <w:szCs w:val="21"/>
                <w:lang w:val="en-US" w:eastAsia="zh-CN"/>
              </w:rPr>
              <w:t>a</w:t>
            </w:r>
            <w:r>
              <w:rPr>
                <w:rFonts w:hint="default" w:ascii="Times New Roman" w:hAnsi="Times New Roman" w:eastAsia="Arial" w:cs="Times New Roman"/>
                <w:sz w:val="21"/>
                <w:szCs w:val="21"/>
              </w:rPr>
              <w:t>pplicable</w:t>
            </w:r>
          </w:p>
        </w:tc>
        <w:tc>
          <w:tcPr>
            <w:tcW w:w="1994" w:type="pct"/>
            <w:tcBorders>
              <w:top w:val="nil"/>
              <w:left w:val="nil"/>
              <w:bottom w:val="nil"/>
              <w:right w:val="nil"/>
            </w:tcBorders>
            <w:shd w:val="clear" w:color="auto" w:fill="FFFFFF"/>
            <w:tcMar>
              <w:top w:w="40" w:type="dxa"/>
              <w:left w:w="80" w:type="dxa"/>
              <w:bottom w:w="40" w:type="dxa"/>
              <w:right w:w="80" w:type="dxa"/>
            </w:tcMar>
            <w:vAlign w:val="center"/>
          </w:tcPr>
          <w:p w14:paraId="0EF8BFDF">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p>
        </w:tc>
      </w:tr>
      <w:tr w14:paraId="2E50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17" w:type="pct"/>
            <w:vMerge w:val="continue"/>
            <w:tcBorders>
              <w:top w:val="nil"/>
              <w:left w:val="nil"/>
              <w:bottom w:val="single" w:color="auto" w:sz="4" w:space="0"/>
              <w:right w:val="nil"/>
            </w:tcBorders>
            <w:vAlign w:val="center"/>
          </w:tcPr>
          <w:p w14:paraId="521492D2">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234" w:type="pct"/>
            <w:vMerge w:val="continue"/>
            <w:tcBorders>
              <w:top w:val="nil"/>
              <w:left w:val="nil"/>
              <w:bottom w:val="single" w:color="auto" w:sz="4" w:space="0"/>
              <w:right w:val="nil"/>
            </w:tcBorders>
            <w:vAlign w:val="center"/>
          </w:tcPr>
          <w:p w14:paraId="54001E9C">
            <w:pPr>
              <w:snapToGrid w:val="0"/>
              <w:spacing w:line="360" w:lineRule="auto"/>
              <w:ind w:left="0" w:leftChars="0" w:right="0" w:rightChars="0" w:firstLine="0" w:firstLineChars="0"/>
              <w:jc w:val="center"/>
              <w:rPr>
                <w:rFonts w:hint="default" w:ascii="Times New Roman" w:hAnsi="Times New Roman" w:eastAsia="Arial" w:cs="Times New Roman"/>
                <w:sz w:val="21"/>
                <w:szCs w:val="21"/>
              </w:rPr>
            </w:pPr>
          </w:p>
        </w:tc>
        <w:tc>
          <w:tcPr>
            <w:tcW w:w="648"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4FCEA6CB">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Suture anchor</w:t>
            </w:r>
          </w:p>
        </w:tc>
        <w:tc>
          <w:tcPr>
            <w:tcW w:w="168"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79A9F625">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293</w:t>
            </w:r>
          </w:p>
        </w:tc>
        <w:tc>
          <w:tcPr>
            <w:tcW w:w="543"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3953221D">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43 (14.7%)b</w:t>
            </w:r>
          </w:p>
        </w:tc>
        <w:tc>
          <w:tcPr>
            <w:tcW w:w="467"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2C1F58D2">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default" w:ascii="Times New Roman" w:hAnsi="Times New Roman" w:eastAsia="Arial" w:cs="Times New Roman"/>
                <w:sz w:val="21"/>
                <w:szCs w:val="21"/>
              </w:rPr>
              <w:t>88 (3</w:t>
            </w:r>
            <w:r>
              <w:rPr>
                <w:rFonts w:hint="eastAsia" w:ascii="Times New Roman" w:hAnsi="Times New Roman" w:eastAsia="宋体" w:cs="Times New Roman"/>
                <w:sz w:val="21"/>
                <w:szCs w:val="21"/>
                <w:lang w:val="en-US" w:eastAsia="zh-CN"/>
              </w:rPr>
              <w:t>0.0</w:t>
            </w:r>
            <w:bookmarkStart w:id="0" w:name="_GoBack"/>
            <w:bookmarkEnd w:id="0"/>
            <w:r>
              <w:rPr>
                <w:rFonts w:hint="default" w:ascii="Times New Roman" w:hAnsi="Times New Roman" w:eastAsia="Arial" w:cs="Times New Roman"/>
                <w:sz w:val="21"/>
                <w:szCs w:val="21"/>
              </w:rPr>
              <w:t>%)c</w:t>
            </w:r>
          </w:p>
        </w:tc>
        <w:tc>
          <w:tcPr>
            <w:tcW w:w="526"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3BFFDF93">
            <w:pPr>
              <w:snapToGrid w:val="0"/>
              <w:spacing w:before="0" w:after="0" w:line="360" w:lineRule="auto"/>
              <w:ind w:left="0" w:leftChars="0" w:right="0" w:rightChars="0" w:firstLine="0" w:firstLineChars="0"/>
              <w:jc w:val="right"/>
              <w:rPr>
                <w:rFonts w:hint="default" w:ascii="Times New Roman" w:hAnsi="Times New Roman" w:eastAsia="Arial" w:cs="Times New Roman"/>
                <w:sz w:val="21"/>
                <w:szCs w:val="21"/>
              </w:rPr>
            </w:pPr>
            <w:r>
              <w:rPr>
                <w:rFonts w:hint="eastAsia" w:ascii="Times New Roman" w:hAnsi="Times New Roman" w:eastAsia="宋体" w:cs="Times New Roman"/>
                <w:sz w:val="21"/>
                <w:szCs w:val="21"/>
                <w:lang w:val="en-US" w:eastAsia="zh-CN"/>
              </w:rPr>
              <w:t>N</w:t>
            </w:r>
            <w:r>
              <w:rPr>
                <w:rFonts w:hint="default" w:ascii="Times New Roman" w:hAnsi="Times New Roman" w:eastAsia="Arial" w:cs="Times New Roman"/>
                <w:sz w:val="21"/>
                <w:szCs w:val="21"/>
              </w:rPr>
              <w:t xml:space="preserve">ot </w:t>
            </w:r>
            <w:r>
              <w:rPr>
                <w:rFonts w:hint="eastAsia" w:ascii="Times New Roman" w:hAnsi="Times New Roman" w:eastAsia="宋体" w:cs="Times New Roman"/>
                <w:sz w:val="21"/>
                <w:szCs w:val="21"/>
                <w:lang w:val="en-US" w:eastAsia="zh-CN"/>
              </w:rPr>
              <w:t>a</w:t>
            </w:r>
            <w:r>
              <w:rPr>
                <w:rFonts w:hint="default" w:ascii="Times New Roman" w:hAnsi="Times New Roman" w:eastAsia="Arial" w:cs="Times New Roman"/>
                <w:sz w:val="21"/>
                <w:szCs w:val="21"/>
              </w:rPr>
              <w:t>pplicable</w:t>
            </w:r>
          </w:p>
        </w:tc>
        <w:tc>
          <w:tcPr>
            <w:tcW w:w="1994"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02E5EC37">
            <w:pPr>
              <w:snapToGrid w:val="0"/>
              <w:spacing w:before="0" w:after="0" w:line="360" w:lineRule="auto"/>
              <w:ind w:left="0" w:leftChars="0" w:right="0" w:rightChars="0" w:firstLine="0" w:firstLineChars="0"/>
              <w:jc w:val="center"/>
              <w:rPr>
                <w:rFonts w:hint="default" w:ascii="Times New Roman" w:hAnsi="Times New Roman" w:eastAsia="Arial" w:cs="Times New Roman"/>
                <w:sz w:val="21"/>
                <w:szCs w:val="21"/>
              </w:rPr>
            </w:pPr>
            <w:r>
              <w:rPr>
                <w:rFonts w:hint="default" w:ascii="Times New Roman" w:hAnsi="Times New Roman" w:eastAsia="Arial" w:cs="Times New Roman"/>
                <w:sz w:val="21"/>
                <w:szCs w:val="21"/>
              </w:rPr>
              <w:t xml:space="preserve">LRR = lateral Z-lengthening; TTO = anteromedializing +/- distalizing; both significantly imbalanced between groups (P &lt; </w:t>
            </w:r>
            <w:r>
              <w:rPr>
                <w:rFonts w:hint="eastAsia" w:ascii="Times New Roman" w:hAnsi="Times New Roman" w:eastAsia="宋体" w:cs="Times New Roman"/>
                <w:sz w:val="21"/>
                <w:szCs w:val="21"/>
                <w:lang w:val="en-US" w:eastAsia="zh-CN"/>
              </w:rPr>
              <w:t>0</w:t>
            </w:r>
            <w:r>
              <w:rPr>
                <w:rFonts w:hint="default" w:ascii="Times New Roman" w:hAnsi="Times New Roman" w:eastAsia="Arial" w:cs="Times New Roman"/>
                <w:sz w:val="21"/>
                <w:szCs w:val="21"/>
              </w:rPr>
              <w:t>.001)</w:t>
            </w:r>
          </w:p>
        </w:tc>
      </w:tr>
    </w:tbl>
    <w:p w14:paraId="58544C4A">
      <w:pPr>
        <w:spacing w:before="120" w:after="40" w:line="360" w:lineRule="auto"/>
        <w:rPr>
          <w:rFonts w:hint="default" w:ascii="Times New Roman" w:hAnsi="Times New Roman" w:cs="Times New Roman"/>
          <w:sz w:val="24"/>
          <w:szCs w:val="24"/>
        </w:rPr>
      </w:pPr>
      <w:r>
        <w:rPr>
          <w:rFonts w:hint="default" w:ascii="Times New Roman" w:hAnsi="Times New Roman" w:eastAsia="Arial" w:cs="Times New Roman"/>
          <w:sz w:val="24"/>
          <w:szCs w:val="24"/>
        </w:rPr>
        <w:t>LRR, lateral retinacular release; TTO, tibial tubercle osteotomy; RCS, retrospective cohort study; PCS, prospective cohort study; RCT, randomized controlled trial; MPFLR, medial patellofemoral ligament reconstruction; TTT, tibial tubercle transfer.</w:t>
      </w:r>
    </w:p>
    <w:p w14:paraId="2710819B">
      <w:pPr>
        <w:spacing w:before="40" w:after="40" w:line="360" w:lineRule="auto"/>
        <w:rPr>
          <w:rFonts w:hint="default" w:ascii="Times New Roman" w:hAnsi="Times New Roman" w:cs="Times New Roman"/>
          <w:sz w:val="24"/>
          <w:szCs w:val="24"/>
        </w:rPr>
      </w:pPr>
      <w:r>
        <w:rPr>
          <w:rFonts w:hint="default" w:ascii="Times New Roman" w:hAnsi="Times New Roman" w:eastAsia="Arial" w:cs="Times New Roman"/>
          <w:sz w:val="24"/>
          <w:szCs w:val="24"/>
          <w:vertAlign w:val="superscript"/>
        </w:rPr>
        <w:t>a</w:t>
      </w:r>
      <w:r>
        <w:rPr>
          <w:rFonts w:hint="default" w:ascii="Times New Roman" w:hAnsi="Times New Roman" w:eastAsia="Arial" w:cs="Times New Roman"/>
          <w:sz w:val="24"/>
          <w:szCs w:val="24"/>
        </w:rPr>
        <w:t xml:space="preserve"> Qiao et al. reported that 83 of 90 patients received tibial tubercle medialization; the exact per-arm breakdown was not reported separately.</w:t>
      </w:r>
    </w:p>
    <w:p w14:paraId="782EDD16">
      <w:pPr>
        <w:spacing w:before="40" w:after="40" w:line="360" w:lineRule="auto"/>
        <w:rPr>
          <w:rFonts w:hint="default" w:ascii="Times New Roman" w:hAnsi="Times New Roman" w:cs="Times New Roman"/>
          <w:sz w:val="24"/>
          <w:szCs w:val="24"/>
        </w:rPr>
      </w:pPr>
      <w:r>
        <w:rPr>
          <w:rFonts w:hint="default" w:ascii="Times New Roman" w:hAnsi="Times New Roman" w:eastAsia="Arial" w:cs="Times New Roman"/>
          <w:sz w:val="24"/>
          <w:szCs w:val="24"/>
          <w:vertAlign w:val="superscript"/>
        </w:rPr>
        <w:t>b</w:t>
      </w:r>
      <w:r>
        <w:rPr>
          <w:rFonts w:hint="default" w:ascii="Times New Roman" w:hAnsi="Times New Roman" w:eastAsia="Arial" w:cs="Times New Roman"/>
          <w:sz w:val="24"/>
          <w:szCs w:val="24"/>
        </w:rPr>
        <w:t xml:space="preserve"> Moran et al. reported as "concomitant lateral Z-lengthening."</w:t>
      </w:r>
    </w:p>
    <w:p w14:paraId="073B6C52">
      <w:pPr>
        <w:spacing w:line="360" w:lineRule="auto"/>
        <w:rPr>
          <w:rFonts w:hint="default" w:ascii="Times New Roman" w:hAnsi="Times New Roman" w:eastAsia="Arial" w:cs="Times New Roman"/>
          <w:sz w:val="24"/>
          <w:szCs w:val="24"/>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r>
        <w:rPr>
          <w:rFonts w:hint="default" w:ascii="Times New Roman" w:hAnsi="Times New Roman" w:eastAsia="Arial" w:cs="Times New Roman"/>
          <w:sz w:val="24"/>
          <w:szCs w:val="24"/>
          <w:vertAlign w:val="superscript"/>
        </w:rPr>
        <w:t>c</w:t>
      </w:r>
      <w:r>
        <w:rPr>
          <w:rFonts w:hint="default" w:ascii="Times New Roman" w:hAnsi="Times New Roman" w:eastAsia="Arial" w:cs="Times New Roman"/>
          <w:sz w:val="24"/>
          <w:szCs w:val="24"/>
        </w:rPr>
        <w:t xml:space="preserve"> Moran et al. reported as "concomitant tibial tubercle osteotomies" (anteromedializing and/or distalizing). P &lt; .001 for between-group imbalance in both LRR and TTO</w:t>
      </w:r>
    </w:p>
    <w:p w14:paraId="0D438FCC">
      <w:pPr>
        <w:spacing w:line="360" w:lineRule="auto"/>
        <w:rPr>
          <w:rFonts w:hint="default" w:ascii="Times New Roman" w:hAnsi="Times New Roman" w:cs="Times New Roman"/>
          <w:sz w:val="24"/>
          <w:szCs w:val="24"/>
        </w:rPr>
      </w:pPr>
    </w:p>
    <w:p w14:paraId="373DB0D9">
      <w:pPr>
        <w:spacing w:line="360" w:lineRule="auto"/>
        <w:rPr>
          <w:rFonts w:hint="default" w:ascii="Times New Roman" w:hAnsi="Times New Roman" w:cs="Times New Roman"/>
          <w:sz w:val="24"/>
          <w:szCs w:val="24"/>
        </w:rPr>
      </w:pPr>
    </w:p>
    <w:p w14:paraId="164F63B1">
      <w:pPr>
        <w:spacing w:line="360" w:lineRule="auto"/>
        <w:ind w:firstLine="2168" w:firstLineChars="900"/>
        <w:rPr>
          <w:rFonts w:hint="eastAsia"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rPr>
        <w:t>Supplementary Table 3</w:t>
      </w:r>
      <w:r>
        <w:rPr>
          <w:rFonts w:hint="eastAsia" w:ascii="Times New Roman" w:hAnsi="Times New Roman" w:cs="Times New Roman"/>
          <w:b/>
          <w:bCs/>
          <w:sz w:val="24"/>
          <w:szCs w:val="24"/>
          <w:lang w:val="en-US" w:eastAsia="zh-CN"/>
        </w:rPr>
        <w:t>.</w:t>
      </w:r>
      <w:r>
        <w:rPr>
          <w:rFonts w:hint="eastAsia" w:ascii="Times New Roman" w:hAnsi="Times New Roman" w:cs="Times New Roman"/>
          <w:sz w:val="24"/>
          <w:szCs w:val="24"/>
          <w:lang w:val="en-US" w:eastAsia="zh-CN"/>
        </w:rPr>
        <w:t>Definition of Recurrent Patellar Instability (RPI) Used by Each Primary Study</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47"/>
        <w:gridCol w:w="5483"/>
        <w:gridCol w:w="5573"/>
        <w:gridCol w:w="1715"/>
      </w:tblGrid>
      <w:tr w14:paraId="542F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477"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67CB7A75">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Study</w:t>
            </w:r>
          </w:p>
        </w:tc>
        <w:tc>
          <w:tcPr>
            <w:tcW w:w="1941"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18E3B665">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RPI Definition</w:t>
            </w:r>
          </w:p>
        </w:tc>
        <w:tc>
          <w:tcPr>
            <w:tcW w:w="1973"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3CB55F19">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Components Reported</w:t>
            </w:r>
          </w:p>
        </w:tc>
        <w:tc>
          <w:tcPr>
            <w:tcW w:w="607" w:type="pct"/>
            <w:tcBorders>
              <w:top w:val="single" w:color="auto" w:sz="4" w:space="0"/>
              <w:left w:val="nil"/>
              <w:bottom w:val="single" w:color="auto" w:sz="4" w:space="0"/>
              <w:right w:val="nil"/>
            </w:tcBorders>
            <w:shd w:val="clear" w:color="auto" w:fill="FFFFFF" w:themeFill="background1"/>
            <w:tcMar>
              <w:top w:w="40" w:type="dxa"/>
              <w:left w:w="80" w:type="dxa"/>
              <w:bottom w:w="40" w:type="dxa"/>
              <w:right w:w="80" w:type="dxa"/>
            </w:tcMar>
            <w:vAlign w:val="center"/>
          </w:tcPr>
          <w:p w14:paraId="34A92252">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Follow-up</w:t>
            </w:r>
          </w:p>
        </w:tc>
      </w:tr>
      <w:tr w14:paraId="75A5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3D3189F1">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Astur</w:t>
            </w:r>
            <w:r>
              <w:rPr>
                <w:rFonts w:hint="default" w:ascii="Times New Roman" w:hAnsi="Times New Roman" w:eastAsia="Arial" w:cs="Times New Roman"/>
                <w:sz w:val="24"/>
                <w:szCs w:val="24"/>
                <w:vertAlign w:val="superscript"/>
              </w:rPr>
              <w:t>[34]</w:t>
            </w:r>
          </w:p>
        </w:tc>
        <w:tc>
          <w:tcPr>
            <w:tcW w:w="1941"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0414E014">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Recurrent lateral patellar instability</w:t>
            </w:r>
          </w:p>
        </w:tc>
        <w:tc>
          <w:tcPr>
            <w:tcW w:w="1973"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26ABBE7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(yes/no)</w:t>
            </w:r>
          </w:p>
        </w:tc>
        <w:tc>
          <w:tcPr>
            <w:tcW w:w="607" w:type="pct"/>
            <w:tcBorders>
              <w:top w:val="single" w:color="auto" w:sz="4" w:space="0"/>
              <w:left w:val="nil"/>
              <w:bottom w:val="nil"/>
              <w:right w:val="nil"/>
            </w:tcBorders>
            <w:shd w:val="clear" w:color="auto" w:fill="FFFFFF"/>
            <w:tcMar>
              <w:top w:w="40" w:type="dxa"/>
              <w:left w:w="80" w:type="dxa"/>
              <w:bottom w:w="40" w:type="dxa"/>
              <w:right w:w="80" w:type="dxa"/>
            </w:tcMar>
            <w:vAlign w:val="center"/>
          </w:tcPr>
          <w:p w14:paraId="75D4F2D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5 years</w:t>
            </w:r>
          </w:p>
        </w:tc>
      </w:tr>
      <w:tr w14:paraId="32CE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3B92C7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Li</w:t>
            </w:r>
            <w:r>
              <w:rPr>
                <w:rFonts w:hint="default" w:ascii="Times New Roman" w:hAnsi="Times New Roman" w:eastAsia="Arial" w:cs="Times New Roman"/>
                <w:sz w:val="24"/>
                <w:szCs w:val="24"/>
                <w:vertAlign w:val="superscript"/>
              </w:rPr>
              <w:t>[35]</w:t>
            </w:r>
          </w:p>
        </w:tc>
        <w:tc>
          <w:tcPr>
            <w:tcW w:w="1941"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EBD93E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Recurrent instability symptoms (pain, subluxation, or both) + redislocation</w:t>
            </w:r>
          </w:p>
        </w:tc>
        <w:tc>
          <w:tcPr>
            <w:tcW w:w="197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D09ADBB">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Pain, subluxation, redislocation (reported separately); apprehension test (yes/no)</w:t>
            </w:r>
          </w:p>
        </w:tc>
        <w:tc>
          <w:tcPr>
            <w:tcW w:w="60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348ECE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41.1 ± 7.4 months</w:t>
            </w:r>
          </w:p>
        </w:tc>
      </w:tr>
      <w:tr w14:paraId="10EA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cMar>
              <w:top w:w="40" w:type="dxa"/>
              <w:left w:w="80" w:type="dxa"/>
              <w:bottom w:w="40" w:type="dxa"/>
              <w:right w:w="80" w:type="dxa"/>
            </w:tcMar>
            <w:vAlign w:val="center"/>
          </w:tcPr>
          <w:p w14:paraId="1A998EC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Ji</w:t>
            </w:r>
            <w:r>
              <w:rPr>
                <w:rFonts w:hint="default" w:ascii="Times New Roman" w:hAnsi="Times New Roman" w:eastAsia="Arial" w:cs="Times New Roman"/>
                <w:sz w:val="24"/>
                <w:szCs w:val="24"/>
                <w:vertAlign w:val="superscript"/>
              </w:rPr>
              <w:t>[33]</w:t>
            </w:r>
          </w:p>
        </w:tc>
        <w:tc>
          <w:tcPr>
            <w:tcW w:w="1941" w:type="pct"/>
            <w:tcBorders>
              <w:top w:val="nil"/>
              <w:left w:val="nil"/>
              <w:bottom w:val="nil"/>
              <w:right w:val="nil"/>
            </w:tcBorders>
            <w:shd w:val="clear" w:color="auto" w:fill="FFFFFF"/>
            <w:tcMar>
              <w:top w:w="40" w:type="dxa"/>
              <w:left w:w="80" w:type="dxa"/>
              <w:bottom w:w="40" w:type="dxa"/>
              <w:right w:w="80" w:type="dxa"/>
            </w:tcMar>
            <w:vAlign w:val="center"/>
          </w:tcPr>
          <w:p w14:paraId="3B62B4A1">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w:t>
            </w:r>
          </w:p>
        </w:tc>
        <w:tc>
          <w:tcPr>
            <w:tcW w:w="1973" w:type="pct"/>
            <w:tcBorders>
              <w:top w:val="nil"/>
              <w:left w:val="nil"/>
              <w:bottom w:val="nil"/>
              <w:right w:val="nil"/>
            </w:tcBorders>
            <w:shd w:val="clear" w:color="auto" w:fill="FFFFFF"/>
            <w:tcMar>
              <w:top w:w="40" w:type="dxa"/>
              <w:left w:w="80" w:type="dxa"/>
              <w:bottom w:w="40" w:type="dxa"/>
              <w:right w:w="80" w:type="dxa"/>
            </w:tcMar>
            <w:vAlign w:val="center"/>
          </w:tcPr>
          <w:p w14:paraId="33829648">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(event count); revision for re-dislocation</w:t>
            </w:r>
          </w:p>
        </w:tc>
        <w:tc>
          <w:tcPr>
            <w:tcW w:w="607" w:type="pct"/>
            <w:tcBorders>
              <w:top w:val="nil"/>
              <w:left w:val="nil"/>
              <w:bottom w:val="nil"/>
              <w:right w:val="nil"/>
            </w:tcBorders>
            <w:shd w:val="clear" w:color="auto" w:fill="FFFFFF"/>
            <w:tcMar>
              <w:top w:w="40" w:type="dxa"/>
              <w:left w:w="80" w:type="dxa"/>
              <w:bottom w:w="40" w:type="dxa"/>
              <w:right w:w="80" w:type="dxa"/>
            </w:tcMar>
            <w:vAlign w:val="center"/>
          </w:tcPr>
          <w:p w14:paraId="7C66C1F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86 months (60-95)</w:t>
            </w:r>
          </w:p>
        </w:tc>
      </w:tr>
      <w:tr w14:paraId="21D1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CEDBD2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Ye</w:t>
            </w:r>
            <w:r>
              <w:rPr>
                <w:rFonts w:hint="default" w:ascii="Times New Roman" w:hAnsi="Times New Roman" w:eastAsia="Arial" w:cs="Times New Roman"/>
                <w:sz w:val="24"/>
                <w:szCs w:val="24"/>
                <w:vertAlign w:val="superscript"/>
              </w:rPr>
              <w:t>[40]</w:t>
            </w:r>
          </w:p>
        </w:tc>
        <w:tc>
          <w:tcPr>
            <w:tcW w:w="1941"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672067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Patellar redislocation</w:t>
            </w:r>
          </w:p>
        </w:tc>
        <w:tc>
          <w:tcPr>
            <w:tcW w:w="197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26EBA92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(yes/no); recurrent subluxations or dislocations (yes/no)</w:t>
            </w:r>
          </w:p>
        </w:tc>
        <w:tc>
          <w:tcPr>
            <w:tcW w:w="60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404E130">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44.7 ± 10.4 months</w:t>
            </w:r>
          </w:p>
        </w:tc>
      </w:tr>
      <w:tr w14:paraId="6316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cMar>
              <w:top w:w="40" w:type="dxa"/>
              <w:left w:w="80" w:type="dxa"/>
              <w:bottom w:w="40" w:type="dxa"/>
              <w:right w:w="80" w:type="dxa"/>
            </w:tcMar>
            <w:vAlign w:val="center"/>
          </w:tcPr>
          <w:p w14:paraId="40EF4DAB">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Sun</w:t>
            </w:r>
            <w:r>
              <w:rPr>
                <w:rFonts w:hint="default" w:ascii="Times New Roman" w:hAnsi="Times New Roman" w:eastAsia="Arial" w:cs="Times New Roman"/>
                <w:sz w:val="24"/>
                <w:szCs w:val="24"/>
                <w:vertAlign w:val="superscript"/>
              </w:rPr>
              <w:t>[41]</w:t>
            </w:r>
          </w:p>
        </w:tc>
        <w:tc>
          <w:tcPr>
            <w:tcW w:w="1941" w:type="pct"/>
            <w:tcBorders>
              <w:top w:val="nil"/>
              <w:left w:val="nil"/>
              <w:bottom w:val="nil"/>
              <w:right w:val="nil"/>
            </w:tcBorders>
            <w:shd w:val="clear" w:color="auto" w:fill="FFFFFF"/>
            <w:tcMar>
              <w:top w:w="40" w:type="dxa"/>
              <w:left w:w="80" w:type="dxa"/>
              <w:bottom w:w="40" w:type="dxa"/>
              <w:right w:w="80" w:type="dxa"/>
            </w:tcMar>
            <w:vAlign w:val="center"/>
          </w:tcPr>
          <w:p w14:paraId="13EF0D6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Patellar redislocation</w:t>
            </w:r>
          </w:p>
        </w:tc>
        <w:tc>
          <w:tcPr>
            <w:tcW w:w="1973" w:type="pct"/>
            <w:tcBorders>
              <w:top w:val="nil"/>
              <w:left w:val="nil"/>
              <w:bottom w:val="nil"/>
              <w:right w:val="nil"/>
            </w:tcBorders>
            <w:shd w:val="clear" w:color="auto" w:fill="FFFFFF"/>
            <w:tcMar>
              <w:top w:w="40" w:type="dxa"/>
              <w:left w:w="80" w:type="dxa"/>
              <w:bottom w:w="40" w:type="dxa"/>
              <w:right w:w="80" w:type="dxa"/>
            </w:tcMar>
            <w:vAlign w:val="center"/>
          </w:tcPr>
          <w:p w14:paraId="6801A15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(yes/no)</w:t>
            </w:r>
          </w:p>
        </w:tc>
        <w:tc>
          <w:tcPr>
            <w:tcW w:w="607" w:type="pct"/>
            <w:tcBorders>
              <w:top w:val="nil"/>
              <w:left w:val="nil"/>
              <w:bottom w:val="nil"/>
              <w:right w:val="nil"/>
            </w:tcBorders>
            <w:shd w:val="clear" w:color="auto" w:fill="FFFFFF"/>
            <w:tcMar>
              <w:top w:w="40" w:type="dxa"/>
              <w:left w:w="80" w:type="dxa"/>
              <w:bottom w:w="40" w:type="dxa"/>
              <w:right w:w="80" w:type="dxa"/>
            </w:tcMar>
            <w:vAlign w:val="center"/>
          </w:tcPr>
          <w:p w14:paraId="7846167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29.4 months (24-36)</w:t>
            </w:r>
          </w:p>
        </w:tc>
      </w:tr>
      <w:tr w14:paraId="491A4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69A393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Wang</w:t>
            </w:r>
            <w:r>
              <w:rPr>
                <w:rFonts w:hint="default" w:ascii="Times New Roman" w:hAnsi="Times New Roman" w:eastAsia="Arial" w:cs="Times New Roman"/>
                <w:sz w:val="24"/>
                <w:szCs w:val="24"/>
                <w:vertAlign w:val="superscript"/>
              </w:rPr>
              <w:t>[37]</w:t>
            </w:r>
          </w:p>
        </w:tc>
        <w:tc>
          <w:tcPr>
            <w:tcW w:w="1941"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F42E0C9">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Recurrence of patellar dislocation</w:t>
            </w:r>
          </w:p>
        </w:tc>
        <w:tc>
          <w:tcPr>
            <w:tcW w:w="197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79F1CD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Dislocation recurrence (yes/no)</w:t>
            </w:r>
          </w:p>
        </w:tc>
        <w:tc>
          <w:tcPr>
            <w:tcW w:w="60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75FEEDB0">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12.8 months (12-14)</w:t>
            </w:r>
          </w:p>
        </w:tc>
      </w:tr>
      <w:tr w14:paraId="1F6A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cMar>
              <w:top w:w="40" w:type="dxa"/>
              <w:left w:w="80" w:type="dxa"/>
              <w:bottom w:w="40" w:type="dxa"/>
              <w:right w:w="80" w:type="dxa"/>
            </w:tcMar>
            <w:vAlign w:val="center"/>
          </w:tcPr>
          <w:p w14:paraId="5F00DA2A">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Huo</w:t>
            </w:r>
            <w:r>
              <w:rPr>
                <w:rFonts w:hint="default" w:ascii="Times New Roman" w:hAnsi="Times New Roman" w:eastAsia="Arial" w:cs="Times New Roman"/>
                <w:sz w:val="24"/>
                <w:szCs w:val="24"/>
                <w:vertAlign w:val="superscript"/>
              </w:rPr>
              <w:t>[36]</w:t>
            </w:r>
          </w:p>
        </w:tc>
        <w:tc>
          <w:tcPr>
            <w:tcW w:w="1941" w:type="pct"/>
            <w:tcBorders>
              <w:top w:val="nil"/>
              <w:left w:val="nil"/>
              <w:bottom w:val="nil"/>
              <w:right w:val="nil"/>
            </w:tcBorders>
            <w:shd w:val="clear" w:color="auto" w:fill="FFFFFF"/>
            <w:tcMar>
              <w:top w:w="40" w:type="dxa"/>
              <w:left w:w="80" w:type="dxa"/>
              <w:bottom w:w="40" w:type="dxa"/>
              <w:right w:w="80" w:type="dxa"/>
            </w:tcMar>
            <w:vAlign w:val="center"/>
          </w:tcPr>
          <w:p w14:paraId="4AAFCC3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Recurrence of subluxation/re-dislocation</w:t>
            </w:r>
          </w:p>
        </w:tc>
        <w:tc>
          <w:tcPr>
            <w:tcW w:w="1973" w:type="pct"/>
            <w:tcBorders>
              <w:top w:val="nil"/>
              <w:left w:val="nil"/>
              <w:bottom w:val="nil"/>
              <w:right w:val="nil"/>
            </w:tcBorders>
            <w:shd w:val="clear" w:color="auto" w:fill="FFFFFF"/>
            <w:tcMar>
              <w:top w:w="40" w:type="dxa"/>
              <w:left w:w="80" w:type="dxa"/>
              <w:bottom w:w="40" w:type="dxa"/>
              <w:right w:w="80" w:type="dxa"/>
            </w:tcMar>
            <w:vAlign w:val="center"/>
          </w:tcPr>
          <w:p w14:paraId="50F8ADC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Subluxation, re-dislocation (combined endpoint)</w:t>
            </w:r>
          </w:p>
        </w:tc>
        <w:tc>
          <w:tcPr>
            <w:tcW w:w="607" w:type="pct"/>
            <w:tcBorders>
              <w:top w:val="nil"/>
              <w:left w:val="nil"/>
              <w:bottom w:val="nil"/>
              <w:right w:val="nil"/>
            </w:tcBorders>
            <w:shd w:val="clear" w:color="auto" w:fill="FFFFFF"/>
            <w:tcMar>
              <w:top w:w="40" w:type="dxa"/>
              <w:left w:w="80" w:type="dxa"/>
              <w:bottom w:w="40" w:type="dxa"/>
              <w:right w:w="80" w:type="dxa"/>
            </w:tcMar>
            <w:vAlign w:val="center"/>
          </w:tcPr>
          <w:p w14:paraId="0B8AF1E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Minimum 3 years</w:t>
            </w:r>
          </w:p>
        </w:tc>
      </w:tr>
      <w:tr w14:paraId="490A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DC28300">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Qiao</w:t>
            </w:r>
            <w:r>
              <w:rPr>
                <w:rFonts w:hint="default" w:ascii="Times New Roman" w:hAnsi="Times New Roman" w:eastAsia="Arial" w:cs="Times New Roman"/>
                <w:sz w:val="24"/>
                <w:szCs w:val="24"/>
                <w:vertAlign w:val="superscript"/>
              </w:rPr>
              <w:t>[43]</w:t>
            </w:r>
          </w:p>
        </w:tc>
        <w:tc>
          <w:tcPr>
            <w:tcW w:w="1941"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DA19E0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Clinical failure = patellar redislocation or multiple episodes of patellar instability</w:t>
            </w:r>
          </w:p>
        </w:tc>
        <w:tc>
          <w:tcPr>
            <w:tcW w:w="197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0DF195C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multiple instability episodes (combined as clinical failure)</w:t>
            </w:r>
          </w:p>
        </w:tc>
        <w:tc>
          <w:tcPr>
            <w:tcW w:w="60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94B5BBB">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38 months (25-53)</w:t>
            </w:r>
          </w:p>
        </w:tc>
      </w:tr>
      <w:tr w14:paraId="7804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cMar>
              <w:top w:w="40" w:type="dxa"/>
              <w:left w:w="80" w:type="dxa"/>
              <w:bottom w:w="40" w:type="dxa"/>
              <w:right w:w="80" w:type="dxa"/>
            </w:tcMar>
            <w:vAlign w:val="center"/>
          </w:tcPr>
          <w:p w14:paraId="2EA16322">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Ercan</w:t>
            </w:r>
            <w:r>
              <w:rPr>
                <w:rFonts w:hint="default" w:ascii="Times New Roman" w:hAnsi="Times New Roman" w:eastAsia="Arial" w:cs="Times New Roman"/>
                <w:sz w:val="24"/>
                <w:szCs w:val="24"/>
                <w:vertAlign w:val="superscript"/>
              </w:rPr>
              <w:t>[42]</w:t>
            </w:r>
          </w:p>
        </w:tc>
        <w:tc>
          <w:tcPr>
            <w:tcW w:w="1941" w:type="pct"/>
            <w:tcBorders>
              <w:top w:val="nil"/>
              <w:left w:val="nil"/>
              <w:bottom w:val="nil"/>
              <w:right w:val="nil"/>
            </w:tcBorders>
            <w:shd w:val="clear" w:color="auto" w:fill="FFFFFF"/>
            <w:tcMar>
              <w:top w:w="40" w:type="dxa"/>
              <w:left w:w="80" w:type="dxa"/>
              <w:bottom w:w="40" w:type="dxa"/>
              <w:right w:w="80" w:type="dxa"/>
            </w:tcMar>
            <w:vAlign w:val="center"/>
          </w:tcPr>
          <w:p w14:paraId="16BABF0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Patellar redislocation or subluxation</w:t>
            </w:r>
          </w:p>
        </w:tc>
        <w:tc>
          <w:tcPr>
            <w:tcW w:w="1973" w:type="pct"/>
            <w:tcBorders>
              <w:top w:val="nil"/>
              <w:left w:val="nil"/>
              <w:bottom w:val="nil"/>
              <w:right w:val="nil"/>
            </w:tcBorders>
            <w:shd w:val="clear" w:color="auto" w:fill="FFFFFF"/>
            <w:tcMar>
              <w:top w:w="40" w:type="dxa"/>
              <w:left w:w="80" w:type="dxa"/>
              <w:bottom w:w="40" w:type="dxa"/>
              <w:right w:w="80" w:type="dxa"/>
            </w:tcMar>
            <w:vAlign w:val="center"/>
          </w:tcPr>
          <w:p w14:paraId="5891AE4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subluxation (combined: "no redislocation or subluxation")</w:t>
            </w:r>
          </w:p>
        </w:tc>
        <w:tc>
          <w:tcPr>
            <w:tcW w:w="607" w:type="pct"/>
            <w:tcBorders>
              <w:top w:val="nil"/>
              <w:left w:val="nil"/>
              <w:bottom w:val="nil"/>
              <w:right w:val="nil"/>
            </w:tcBorders>
            <w:shd w:val="clear" w:color="auto" w:fill="FFFFFF"/>
            <w:tcMar>
              <w:top w:w="40" w:type="dxa"/>
              <w:left w:w="80" w:type="dxa"/>
              <w:bottom w:w="40" w:type="dxa"/>
              <w:right w:w="80" w:type="dxa"/>
            </w:tcMar>
            <w:vAlign w:val="center"/>
          </w:tcPr>
          <w:p w14:paraId="53C775D1">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43 months (24-74)</w:t>
            </w:r>
          </w:p>
        </w:tc>
      </w:tr>
      <w:tr w14:paraId="1CE6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6EB64E8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Samanta</w:t>
            </w:r>
            <w:r>
              <w:rPr>
                <w:rFonts w:hint="default" w:ascii="Times New Roman" w:hAnsi="Times New Roman" w:eastAsia="Arial" w:cs="Times New Roman"/>
                <w:sz w:val="24"/>
                <w:szCs w:val="24"/>
                <w:vertAlign w:val="superscript"/>
              </w:rPr>
              <w:t>[38]</w:t>
            </w:r>
          </w:p>
        </w:tc>
        <w:tc>
          <w:tcPr>
            <w:tcW w:w="1941"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4EABEAE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Patellar re-dislocation</w:t>
            </w:r>
          </w:p>
        </w:tc>
        <w:tc>
          <w:tcPr>
            <w:tcW w:w="1973"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17A6978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Re-dislocation (yes/no); graft failure (complication)</w:t>
            </w:r>
          </w:p>
        </w:tc>
        <w:tc>
          <w:tcPr>
            <w:tcW w:w="607" w:type="pct"/>
            <w:tcBorders>
              <w:top w:val="nil"/>
              <w:left w:val="nil"/>
              <w:bottom w:val="nil"/>
              <w:right w:val="nil"/>
            </w:tcBorders>
            <w:shd w:val="clear" w:color="auto" w:fill="FFFFFF" w:themeFill="background1"/>
            <w:tcMar>
              <w:top w:w="40" w:type="dxa"/>
              <w:left w:w="80" w:type="dxa"/>
              <w:bottom w:w="40" w:type="dxa"/>
              <w:right w:w="80" w:type="dxa"/>
            </w:tcMar>
            <w:vAlign w:val="center"/>
          </w:tcPr>
          <w:p w14:paraId="3E19B98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12 months</w:t>
            </w:r>
          </w:p>
        </w:tc>
      </w:tr>
      <w:tr w14:paraId="0F49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477"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4E0B1FA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Moran</w:t>
            </w:r>
            <w:r>
              <w:rPr>
                <w:rFonts w:hint="default" w:ascii="Times New Roman" w:hAnsi="Times New Roman" w:eastAsia="Arial" w:cs="Times New Roman"/>
                <w:sz w:val="24"/>
                <w:szCs w:val="24"/>
                <w:vertAlign w:val="superscript"/>
              </w:rPr>
              <w:t>[39]</w:t>
            </w:r>
          </w:p>
        </w:tc>
        <w:tc>
          <w:tcPr>
            <w:tcW w:w="1941"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23F6072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Recurrent patellar instability</w:t>
            </w:r>
          </w:p>
        </w:tc>
        <w:tc>
          <w:tcPr>
            <w:tcW w:w="1973"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7738326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Symptomatic instability or dislocation (combined); revision MPFLR (separately reported)</w:t>
            </w:r>
          </w:p>
        </w:tc>
        <w:tc>
          <w:tcPr>
            <w:tcW w:w="607" w:type="pct"/>
            <w:tcBorders>
              <w:top w:val="nil"/>
              <w:left w:val="nil"/>
              <w:bottom w:val="single" w:color="auto" w:sz="4" w:space="0"/>
              <w:right w:val="nil"/>
            </w:tcBorders>
            <w:shd w:val="clear" w:color="auto" w:fill="FFFFFF"/>
            <w:tcMar>
              <w:top w:w="40" w:type="dxa"/>
              <w:left w:w="80" w:type="dxa"/>
              <w:bottom w:w="40" w:type="dxa"/>
              <w:right w:w="80" w:type="dxa"/>
            </w:tcMar>
            <w:vAlign w:val="center"/>
          </w:tcPr>
          <w:p w14:paraId="5E524356">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41.3 months</w:t>
            </w:r>
          </w:p>
        </w:tc>
      </w:tr>
    </w:tbl>
    <w:p w14:paraId="7FCB6776">
      <w:pPr>
        <w:spacing w:line="360" w:lineRule="auto"/>
        <w:rPr>
          <w:rFonts w:hint="eastAsia" w:ascii="Times New Roman" w:hAnsi="Times New Roman" w:eastAsia="宋体" w:cs="Times New Roman"/>
          <w:sz w:val="24"/>
          <w:szCs w:val="24"/>
          <w:lang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r>
        <w:rPr>
          <w:rFonts w:hint="default" w:ascii="Times New Roman" w:hAnsi="Times New Roman" w:eastAsia="Arial" w:cs="Times New Roman"/>
          <w:sz w:val="24"/>
          <w:szCs w:val="24"/>
        </w:rPr>
        <w:t>RPI definitions varied substantially across studies. Six studies</w:t>
      </w:r>
      <w:r>
        <w:rPr>
          <w:rFonts w:hint="default" w:ascii="Times New Roman" w:hAnsi="Times New Roman" w:eastAsia="Arial" w:cs="Times New Roman"/>
          <w:sz w:val="24"/>
          <w:szCs w:val="24"/>
          <w:vertAlign w:val="superscript"/>
        </w:rPr>
        <w:t>[33, 3</w:t>
      </w:r>
      <w:r>
        <w:rPr>
          <w:rFonts w:hint="eastAsia" w:ascii="Times New Roman" w:hAnsi="Times New Roman" w:eastAsia="宋体" w:cs="Times New Roman"/>
          <w:sz w:val="24"/>
          <w:szCs w:val="24"/>
          <w:vertAlign w:val="superscript"/>
          <w:lang w:val="en-US" w:eastAsia="zh-CN"/>
        </w:rPr>
        <w:t>4</w:t>
      </w:r>
      <w:r>
        <w:rPr>
          <w:rFonts w:hint="default" w:ascii="Times New Roman" w:hAnsi="Times New Roman" w:eastAsia="Arial" w:cs="Times New Roman"/>
          <w:sz w:val="24"/>
          <w:szCs w:val="24"/>
          <w:vertAlign w:val="superscript"/>
        </w:rPr>
        <w:t>, 37, 3</w:t>
      </w:r>
      <w:r>
        <w:rPr>
          <w:rFonts w:hint="eastAsia" w:ascii="Times New Roman" w:hAnsi="Times New Roman" w:eastAsia="宋体" w:cs="Times New Roman"/>
          <w:sz w:val="24"/>
          <w:szCs w:val="24"/>
          <w:vertAlign w:val="superscript"/>
          <w:lang w:val="en-US" w:eastAsia="zh-CN"/>
        </w:rPr>
        <w:t xml:space="preserve">8, 40, </w:t>
      </w:r>
      <w:r>
        <w:rPr>
          <w:rFonts w:hint="default" w:ascii="Times New Roman" w:hAnsi="Times New Roman" w:eastAsia="Arial" w:cs="Times New Roman"/>
          <w:sz w:val="24"/>
          <w:szCs w:val="24"/>
          <w:vertAlign w:val="superscript"/>
        </w:rPr>
        <w:t xml:space="preserve">41] </w:t>
      </w:r>
      <w:r>
        <w:rPr>
          <w:rFonts w:hint="default" w:ascii="Times New Roman" w:hAnsi="Times New Roman" w:eastAsia="Arial" w:cs="Times New Roman"/>
          <w:sz w:val="24"/>
          <w:szCs w:val="24"/>
        </w:rPr>
        <w:t>defined RPI primarily as redislocation events; Li et al.</w:t>
      </w:r>
      <w:r>
        <w:rPr>
          <w:rFonts w:hint="default" w:ascii="Times New Roman" w:hAnsi="Times New Roman" w:eastAsia="Arial" w:cs="Times New Roman"/>
          <w:sz w:val="24"/>
          <w:szCs w:val="24"/>
          <w:vertAlign w:val="superscript"/>
        </w:rPr>
        <w:t>[35]</w:t>
      </w:r>
      <w:r>
        <w:rPr>
          <w:rFonts w:hint="eastAsia" w:ascii="Times New Roman" w:hAnsi="Times New Roman" w:eastAsia="宋体" w:cs="Times New Roman"/>
          <w:sz w:val="24"/>
          <w:szCs w:val="24"/>
          <w:vertAlign w:val="baseline"/>
          <w:lang w:val="en-US" w:eastAsia="zh-CN"/>
        </w:rPr>
        <w:t>,</w:t>
      </w:r>
      <w:r>
        <w:rPr>
          <w:rFonts w:hint="default" w:ascii="Times New Roman" w:hAnsi="Times New Roman" w:eastAsia="Arial" w:cs="Times New Roman"/>
          <w:sz w:val="24"/>
          <w:szCs w:val="24"/>
        </w:rPr>
        <w:t xml:space="preserve"> Qiao et al.</w:t>
      </w:r>
      <w:r>
        <w:rPr>
          <w:rFonts w:hint="default" w:ascii="Times New Roman" w:hAnsi="Times New Roman" w:eastAsia="Arial" w:cs="Times New Roman"/>
          <w:sz w:val="24"/>
          <w:szCs w:val="24"/>
          <w:vertAlign w:val="superscript"/>
        </w:rPr>
        <w:t>[43]</w:t>
      </w:r>
      <w:r>
        <w:rPr>
          <w:rFonts w:hint="eastAsia" w:ascii="Times New Roman" w:hAnsi="Times New Roman" w:eastAsia="宋体" w:cs="Times New Roman"/>
          <w:sz w:val="24"/>
          <w:szCs w:val="24"/>
          <w:vertAlign w:val="superscript"/>
          <w:lang w:val="en-US" w:eastAsia="zh-CN"/>
        </w:rPr>
        <w:t xml:space="preserve"> </w:t>
      </w:r>
      <w:r>
        <w:rPr>
          <w:rFonts w:hint="eastAsia" w:ascii="Times New Roman" w:hAnsi="Times New Roman" w:eastAsia="宋体" w:cs="Times New Roman"/>
          <w:sz w:val="24"/>
          <w:szCs w:val="24"/>
          <w:vertAlign w:val="baseline"/>
          <w:lang w:val="en-US" w:eastAsia="zh-CN"/>
        </w:rPr>
        <w:t>and Moran et al.</w:t>
      </w:r>
      <w:r>
        <w:rPr>
          <w:rFonts w:hint="eastAsia" w:ascii="Times New Roman" w:hAnsi="Times New Roman" w:eastAsia="宋体" w:cs="Times New Roman"/>
          <w:sz w:val="24"/>
          <w:szCs w:val="24"/>
          <w:vertAlign w:val="superscript"/>
          <w:lang w:val="en-US" w:eastAsia="zh-CN"/>
        </w:rPr>
        <w:t>[39]</w:t>
      </w:r>
      <w:r>
        <w:rPr>
          <w:rFonts w:hint="default" w:ascii="Times New Roman" w:hAnsi="Times New Roman" w:eastAsia="Arial" w:cs="Times New Roman"/>
          <w:sz w:val="24"/>
          <w:szCs w:val="24"/>
        </w:rPr>
        <w:t xml:space="preserve"> used composite endpoints combining instability symptoms with redislocation; Ercan et al.</w:t>
      </w:r>
      <w:r>
        <w:rPr>
          <w:rFonts w:hint="default" w:ascii="Times New Roman" w:hAnsi="Times New Roman" w:eastAsia="Arial" w:cs="Times New Roman"/>
          <w:sz w:val="24"/>
          <w:szCs w:val="24"/>
          <w:vertAlign w:val="superscript"/>
        </w:rPr>
        <w:t>[42]</w:t>
      </w:r>
      <w:r>
        <w:rPr>
          <w:rFonts w:hint="default" w:ascii="Times New Roman" w:hAnsi="Times New Roman" w:eastAsia="Arial" w:cs="Times New Roman"/>
          <w:sz w:val="24"/>
          <w:szCs w:val="24"/>
        </w:rPr>
        <w:t xml:space="preserve"> and Huo et al.</w:t>
      </w:r>
      <w:r>
        <w:rPr>
          <w:rFonts w:hint="default" w:ascii="Times New Roman" w:hAnsi="Times New Roman" w:eastAsia="Arial" w:cs="Times New Roman"/>
          <w:sz w:val="24"/>
          <w:szCs w:val="24"/>
          <w:vertAlign w:val="superscript"/>
        </w:rPr>
        <w:t>[36]</w:t>
      </w:r>
      <w:r>
        <w:rPr>
          <w:rFonts w:hint="default" w:ascii="Times New Roman" w:hAnsi="Times New Roman" w:eastAsia="Arial" w:cs="Times New Roman"/>
          <w:sz w:val="24"/>
          <w:szCs w:val="24"/>
        </w:rPr>
        <w:t xml:space="preserve"> reported redislocation and subluxation as a combined endpoint</w:t>
      </w:r>
      <w:r>
        <w:rPr>
          <w:rFonts w:hint="eastAsia" w:ascii="Times New Roman" w:hAnsi="Times New Roman" w:eastAsia="宋体" w:cs="Times New Roman"/>
          <w:sz w:val="24"/>
          <w:szCs w:val="24"/>
          <w:lang w:val="en-US" w:eastAsia="zh-CN"/>
        </w:rPr>
        <w:t>.</w:t>
      </w:r>
    </w:p>
    <w:p w14:paraId="68907EF2">
      <w:pPr>
        <w:spacing w:after="160" w:line="360" w:lineRule="auto"/>
        <w:ind w:firstLine="4082" w:firstLineChars="1700"/>
        <w:rPr>
          <w:rFonts w:hint="default" w:ascii="Times New Roman" w:hAnsi="Times New Roman" w:eastAsia="Arial" w:cs="Times New Roman"/>
          <w:b w:val="0"/>
          <w:bCs w:val="0"/>
          <w:i w:val="0"/>
          <w:iCs w:val="0"/>
          <w:sz w:val="24"/>
          <w:szCs w:val="24"/>
        </w:rPr>
      </w:pPr>
      <w:r>
        <w:rPr>
          <w:rFonts w:hint="default" w:ascii="Times New Roman" w:hAnsi="Times New Roman" w:eastAsia="Arial" w:cs="Times New Roman"/>
          <w:b/>
          <w:bCs/>
          <w:i w:val="0"/>
          <w:iCs w:val="0"/>
          <w:sz w:val="24"/>
          <w:szCs w:val="24"/>
        </w:rPr>
        <w:t xml:space="preserve">Supplementary Table 4. </w:t>
      </w:r>
      <w:r>
        <w:rPr>
          <w:rFonts w:hint="default" w:ascii="Times New Roman" w:hAnsi="Times New Roman" w:eastAsia="Arial" w:cs="Times New Roman"/>
          <w:b w:val="0"/>
          <w:bCs w:val="0"/>
          <w:i w:val="0"/>
          <w:iCs w:val="0"/>
          <w:sz w:val="24"/>
          <w:szCs w:val="24"/>
        </w:rPr>
        <w:t>GRADE evidence profile</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39"/>
        <w:gridCol w:w="907"/>
        <w:gridCol w:w="927"/>
        <w:gridCol w:w="1006"/>
        <w:gridCol w:w="1508"/>
        <w:gridCol w:w="1369"/>
        <w:gridCol w:w="1347"/>
        <w:gridCol w:w="1353"/>
        <w:gridCol w:w="2877"/>
        <w:gridCol w:w="1245"/>
      </w:tblGrid>
      <w:tr w14:paraId="5317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tblHeader/>
          <w:jc w:val="center"/>
        </w:trPr>
        <w:tc>
          <w:tcPr>
            <w:tcW w:w="546"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7F06A54A">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Outcome</w:t>
            </w:r>
          </w:p>
        </w:tc>
        <w:tc>
          <w:tcPr>
            <w:tcW w:w="322"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036049EC">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No. of studies (knees)</w:t>
            </w:r>
          </w:p>
        </w:tc>
        <w:tc>
          <w:tcPr>
            <w:tcW w:w="329"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2EFCF9A2">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Study design</w:t>
            </w:r>
          </w:p>
        </w:tc>
        <w:tc>
          <w:tcPr>
            <w:tcW w:w="357"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4C870019">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Risk of bias</w:t>
            </w:r>
          </w:p>
        </w:tc>
        <w:tc>
          <w:tcPr>
            <w:tcW w:w="535"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38AC8B84">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Inconsistency</w:t>
            </w:r>
          </w:p>
        </w:tc>
        <w:tc>
          <w:tcPr>
            <w:tcW w:w="486"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145C4858">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Indirectness</w:t>
            </w:r>
          </w:p>
        </w:tc>
        <w:tc>
          <w:tcPr>
            <w:tcW w:w="478"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2F6CF382">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Imprecision</w:t>
            </w:r>
          </w:p>
        </w:tc>
        <w:tc>
          <w:tcPr>
            <w:tcW w:w="480"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17BB11AF">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Publication bias</w:t>
            </w:r>
          </w:p>
        </w:tc>
        <w:tc>
          <w:tcPr>
            <w:tcW w:w="1021"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11DA9AA0">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Summary of findings (network estimates &amp; ranking)</w:t>
            </w:r>
          </w:p>
        </w:tc>
        <w:tc>
          <w:tcPr>
            <w:tcW w:w="442" w:type="pct"/>
            <w:tcBorders>
              <w:top w:val="single" w:color="auto" w:sz="4" w:space="0"/>
              <w:left w:val="nil"/>
              <w:bottom w:val="single" w:color="auto" w:sz="4" w:space="0"/>
              <w:right w:val="nil"/>
            </w:tcBorders>
            <w:shd w:val="clear" w:color="auto" w:fill="FFFFFF" w:themeFill="background1"/>
            <w:tcMar>
              <w:top w:w="40" w:type="dxa"/>
              <w:left w:w="60" w:type="dxa"/>
              <w:bottom w:w="40" w:type="dxa"/>
              <w:right w:w="60" w:type="dxa"/>
            </w:tcMar>
            <w:vAlign w:val="center"/>
          </w:tcPr>
          <w:p w14:paraId="5E166BB6">
            <w:pPr>
              <w:snapToGrid w:val="0"/>
              <w:spacing w:before="0" w:after="0" w:line="360" w:lineRule="auto"/>
              <w:ind w:left="0" w:leftChars="0" w:right="0" w:rightChars="0" w:firstLine="0" w:firstLineChars="0"/>
              <w:jc w:val="center"/>
              <w:rPr>
                <w:rFonts w:hint="default" w:ascii="Times New Roman" w:hAnsi="Times New Roman" w:eastAsia="Arial" w:cs="Times New Roman"/>
                <w:b/>
                <w:color w:val="auto"/>
                <w:sz w:val="24"/>
                <w:szCs w:val="24"/>
              </w:rPr>
            </w:pPr>
            <w:r>
              <w:rPr>
                <w:rFonts w:hint="default" w:ascii="Times New Roman" w:hAnsi="Times New Roman" w:eastAsia="Arial" w:cs="Times New Roman"/>
                <w:b/>
                <w:bCs/>
                <w:color w:val="auto"/>
                <w:sz w:val="24"/>
                <w:szCs w:val="24"/>
              </w:rPr>
              <w:t>Certainty (GRADE)</w:t>
            </w:r>
          </w:p>
        </w:tc>
      </w:tr>
      <w:tr w14:paraId="0137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46"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6DE9DEA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Recurrent patellar instability (RPI)</w:t>
            </w:r>
          </w:p>
        </w:tc>
        <w:tc>
          <w:tcPr>
            <w:tcW w:w="322"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3FA561D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11
(1,362)</w:t>
            </w:r>
          </w:p>
        </w:tc>
        <w:tc>
          <w:tcPr>
            <w:tcW w:w="329"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109770A6">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Mixed
(5 RCT +
6 obs.)</w:t>
            </w:r>
          </w:p>
        </w:tc>
        <w:tc>
          <w:tcPr>
            <w:tcW w:w="357"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2C1FDA6A">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535"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2EE245D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eastAsia" w:ascii="Times New Roman" w:hAnsi="Times New Roman" w:eastAsia="Arial" w:cs="Times New Roman"/>
                <w:sz w:val="24"/>
                <w:szCs w:val="24"/>
                <w:lang w:val="en-US" w:eastAsia="zh-CN"/>
              </w:rPr>
              <w:t>S</w:t>
            </w:r>
            <w:r>
              <w:rPr>
                <w:rFonts w:hint="default" w:ascii="Times New Roman" w:hAnsi="Times New Roman" w:eastAsia="Arial" w:cs="Times New Roman"/>
                <w:sz w:val="24"/>
                <w:szCs w:val="24"/>
              </w:rPr>
              <w:t>erious⁻¹</w:t>
            </w:r>
          </w:p>
        </w:tc>
        <w:tc>
          <w:tcPr>
            <w:tcW w:w="486"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70BC9AB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478"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3A4A24A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Very serious⁻²</w:t>
            </w:r>
          </w:p>
        </w:tc>
        <w:tc>
          <w:tcPr>
            <w:tcW w:w="480"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6E391386">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1021"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40BF2320">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Semi-patellar-tunnel ranked best (SUCRA 81.8%). Network RR 1.88 (95% CI 0.93–3.83) for double-suture-anchor vs. semi-patellar-tunnel. All pairwise comparisons crossed the null.</w:t>
            </w:r>
          </w:p>
        </w:tc>
        <w:tc>
          <w:tcPr>
            <w:tcW w:w="442" w:type="pct"/>
            <w:tcBorders>
              <w:top w:val="single" w:color="auto" w:sz="4" w:space="0"/>
              <w:left w:val="nil"/>
              <w:bottom w:val="nil"/>
              <w:right w:val="nil"/>
            </w:tcBorders>
            <w:shd w:val="clear" w:color="auto" w:fill="FFFFFF"/>
            <w:tcMar>
              <w:top w:w="40" w:type="dxa"/>
              <w:left w:w="60" w:type="dxa"/>
              <w:bottom w:w="40" w:type="dxa"/>
              <w:right w:w="60" w:type="dxa"/>
            </w:tcMar>
            <w:vAlign w:val="center"/>
          </w:tcPr>
          <w:p w14:paraId="15B71128">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
VERY LOW</w:t>
            </w:r>
          </w:p>
        </w:tc>
      </w:tr>
      <w:tr w14:paraId="2CD3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46"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5745EC6B">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Kujala score</w:t>
            </w:r>
          </w:p>
        </w:tc>
        <w:tc>
          <w:tcPr>
            <w:tcW w:w="322"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555D84B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9
(666)</w:t>
            </w:r>
          </w:p>
        </w:tc>
        <w:tc>
          <w:tcPr>
            <w:tcW w:w="329"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437E9BF2">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Mixed
(4 RCT +
5 obs.)</w:t>
            </w:r>
          </w:p>
        </w:tc>
        <w:tc>
          <w:tcPr>
            <w:tcW w:w="357"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175DDF4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535"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5046D8B4">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486"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07C9FBF6">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478"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1DD4993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Very serious⁻²</w:t>
            </w:r>
          </w:p>
        </w:tc>
        <w:tc>
          <w:tcPr>
            <w:tcW w:w="480"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477CFF30">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1021"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35EAC26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Semi-patellar-tunnel ranked best (SUCRA 98.5%). Network MD 6.14 (95% CI 4.12–8.16) for semi-patellar-tunnel vs. single-patellar-tunnel. The estimated difference did not reach the MCID of 10.</w:t>
            </w:r>
          </w:p>
        </w:tc>
        <w:tc>
          <w:tcPr>
            <w:tcW w:w="442" w:type="pct"/>
            <w:tcBorders>
              <w:top w:val="nil"/>
              <w:left w:val="nil"/>
              <w:bottom w:val="nil"/>
              <w:right w:val="nil"/>
            </w:tcBorders>
            <w:shd w:val="clear" w:color="auto" w:fill="FFFFFF" w:themeFill="background1"/>
            <w:tcMar>
              <w:top w:w="40" w:type="dxa"/>
              <w:left w:w="60" w:type="dxa"/>
              <w:bottom w:w="40" w:type="dxa"/>
              <w:right w:w="60" w:type="dxa"/>
            </w:tcMar>
            <w:vAlign w:val="center"/>
          </w:tcPr>
          <w:p w14:paraId="4A21FFE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
VERY LOW</w:t>
            </w:r>
          </w:p>
        </w:tc>
      </w:tr>
      <w:tr w14:paraId="5E8B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46" w:type="pct"/>
            <w:tcBorders>
              <w:top w:val="nil"/>
              <w:left w:val="nil"/>
              <w:bottom w:val="nil"/>
              <w:right w:val="nil"/>
            </w:tcBorders>
            <w:shd w:val="clear" w:color="auto" w:fill="FFFFFF"/>
            <w:tcMar>
              <w:top w:w="40" w:type="dxa"/>
              <w:left w:w="60" w:type="dxa"/>
              <w:bottom w:w="40" w:type="dxa"/>
              <w:right w:w="60" w:type="dxa"/>
            </w:tcMar>
            <w:vAlign w:val="center"/>
          </w:tcPr>
          <w:p w14:paraId="609909A4">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Revision rate</w:t>
            </w:r>
          </w:p>
        </w:tc>
        <w:tc>
          <w:tcPr>
            <w:tcW w:w="322" w:type="pct"/>
            <w:tcBorders>
              <w:top w:val="nil"/>
              <w:left w:val="nil"/>
              <w:bottom w:val="nil"/>
              <w:right w:val="nil"/>
            </w:tcBorders>
            <w:shd w:val="clear" w:color="auto" w:fill="FFFFFF"/>
            <w:tcMar>
              <w:top w:w="40" w:type="dxa"/>
              <w:left w:w="60" w:type="dxa"/>
              <w:bottom w:w="40" w:type="dxa"/>
              <w:right w:w="60" w:type="dxa"/>
            </w:tcMar>
            <w:vAlign w:val="center"/>
          </w:tcPr>
          <w:p w14:paraId="00C49AE8">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11
(1,362)</w:t>
            </w:r>
          </w:p>
        </w:tc>
        <w:tc>
          <w:tcPr>
            <w:tcW w:w="329" w:type="pct"/>
            <w:tcBorders>
              <w:top w:val="nil"/>
              <w:left w:val="nil"/>
              <w:bottom w:val="nil"/>
              <w:right w:val="nil"/>
            </w:tcBorders>
            <w:shd w:val="clear" w:color="auto" w:fill="FFFFFF"/>
            <w:tcMar>
              <w:top w:w="40" w:type="dxa"/>
              <w:left w:w="60" w:type="dxa"/>
              <w:bottom w:w="40" w:type="dxa"/>
              <w:right w:w="60" w:type="dxa"/>
            </w:tcMar>
            <w:vAlign w:val="center"/>
          </w:tcPr>
          <w:p w14:paraId="5104439B">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Mixed
(5 RCT +
6 obs.)</w:t>
            </w:r>
          </w:p>
        </w:tc>
        <w:tc>
          <w:tcPr>
            <w:tcW w:w="357" w:type="pct"/>
            <w:tcBorders>
              <w:top w:val="nil"/>
              <w:left w:val="nil"/>
              <w:bottom w:val="nil"/>
              <w:right w:val="nil"/>
            </w:tcBorders>
            <w:shd w:val="clear" w:color="auto" w:fill="FFFFFF"/>
            <w:tcMar>
              <w:top w:w="40" w:type="dxa"/>
              <w:left w:w="60" w:type="dxa"/>
              <w:bottom w:w="40" w:type="dxa"/>
              <w:right w:w="60" w:type="dxa"/>
            </w:tcMar>
            <w:vAlign w:val="center"/>
          </w:tcPr>
          <w:p w14:paraId="3EE4D44E">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535" w:type="pct"/>
            <w:tcBorders>
              <w:top w:val="nil"/>
              <w:left w:val="nil"/>
              <w:bottom w:val="nil"/>
              <w:right w:val="nil"/>
            </w:tcBorders>
            <w:shd w:val="clear" w:color="auto" w:fill="FFFFFF"/>
            <w:tcMar>
              <w:top w:w="40" w:type="dxa"/>
              <w:left w:w="60" w:type="dxa"/>
              <w:bottom w:w="40" w:type="dxa"/>
              <w:right w:w="60" w:type="dxa"/>
            </w:tcMar>
            <w:vAlign w:val="center"/>
          </w:tcPr>
          <w:p w14:paraId="07D8583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486" w:type="pct"/>
            <w:tcBorders>
              <w:top w:val="nil"/>
              <w:left w:val="nil"/>
              <w:bottom w:val="nil"/>
              <w:right w:val="nil"/>
            </w:tcBorders>
            <w:shd w:val="clear" w:color="auto" w:fill="FFFFFF"/>
            <w:tcMar>
              <w:top w:w="40" w:type="dxa"/>
              <w:left w:w="60" w:type="dxa"/>
              <w:bottom w:w="40" w:type="dxa"/>
              <w:right w:w="60" w:type="dxa"/>
            </w:tcMar>
            <w:vAlign w:val="center"/>
          </w:tcPr>
          <w:p w14:paraId="23DE0079">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478" w:type="pct"/>
            <w:tcBorders>
              <w:top w:val="nil"/>
              <w:left w:val="nil"/>
              <w:bottom w:val="nil"/>
              <w:right w:val="nil"/>
            </w:tcBorders>
            <w:shd w:val="clear" w:color="auto" w:fill="FFFFFF"/>
            <w:tcMar>
              <w:top w:w="40" w:type="dxa"/>
              <w:left w:w="60" w:type="dxa"/>
              <w:bottom w:w="40" w:type="dxa"/>
              <w:right w:w="60" w:type="dxa"/>
            </w:tcMar>
            <w:vAlign w:val="center"/>
          </w:tcPr>
          <w:p w14:paraId="6DCA43C1">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Very serious⁻²</w:t>
            </w:r>
          </w:p>
        </w:tc>
        <w:tc>
          <w:tcPr>
            <w:tcW w:w="480" w:type="pct"/>
            <w:tcBorders>
              <w:top w:val="nil"/>
              <w:left w:val="nil"/>
              <w:bottom w:val="nil"/>
              <w:right w:val="nil"/>
            </w:tcBorders>
            <w:shd w:val="clear" w:color="auto" w:fill="FFFFFF"/>
            <w:tcMar>
              <w:top w:w="40" w:type="dxa"/>
              <w:left w:w="60" w:type="dxa"/>
              <w:bottom w:w="40" w:type="dxa"/>
              <w:right w:w="60" w:type="dxa"/>
            </w:tcMar>
            <w:vAlign w:val="center"/>
          </w:tcPr>
          <w:p w14:paraId="6AF25C61">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
(Egger
P = 0.002)</w:t>
            </w:r>
          </w:p>
        </w:tc>
        <w:tc>
          <w:tcPr>
            <w:tcW w:w="1021" w:type="pct"/>
            <w:tcBorders>
              <w:top w:val="nil"/>
              <w:left w:val="nil"/>
              <w:bottom w:val="nil"/>
              <w:right w:val="nil"/>
            </w:tcBorders>
            <w:shd w:val="clear" w:color="auto" w:fill="FFFFFF"/>
            <w:tcMar>
              <w:top w:w="40" w:type="dxa"/>
              <w:left w:w="60" w:type="dxa"/>
              <w:bottom w:w="40" w:type="dxa"/>
              <w:right w:w="60" w:type="dxa"/>
            </w:tcMar>
            <w:vAlign w:val="center"/>
          </w:tcPr>
          <w:p w14:paraId="63180445">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Semi-patellar-tunnel ranked best (SUCRA 76.0%). Network RR 1.83 (95% CI 0.76–4.42) for double-suture-anchor vs. semi-patellar-tunnel. Extremely wide CIs precluded definitive conclusions.</w:t>
            </w:r>
          </w:p>
        </w:tc>
        <w:tc>
          <w:tcPr>
            <w:tcW w:w="442" w:type="pct"/>
            <w:tcBorders>
              <w:top w:val="nil"/>
              <w:left w:val="nil"/>
              <w:bottom w:val="nil"/>
              <w:right w:val="nil"/>
            </w:tcBorders>
            <w:shd w:val="clear" w:color="auto" w:fill="FFFFFF"/>
            <w:tcMar>
              <w:top w:w="40" w:type="dxa"/>
              <w:left w:w="60" w:type="dxa"/>
              <w:bottom w:w="40" w:type="dxa"/>
              <w:right w:w="60" w:type="dxa"/>
            </w:tcMar>
            <w:vAlign w:val="center"/>
          </w:tcPr>
          <w:p w14:paraId="1154F26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
VERY LOW</w:t>
            </w:r>
          </w:p>
        </w:tc>
      </w:tr>
      <w:tr w14:paraId="1403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46"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10D69F4D">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Surgical complications</w:t>
            </w:r>
          </w:p>
        </w:tc>
        <w:tc>
          <w:tcPr>
            <w:tcW w:w="322"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7AB77F0A">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11
(1,362)</w:t>
            </w:r>
          </w:p>
        </w:tc>
        <w:tc>
          <w:tcPr>
            <w:tcW w:w="329"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2DBD5199">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Mixed
(5 RCT +
6 obs.)</w:t>
            </w:r>
          </w:p>
        </w:tc>
        <w:tc>
          <w:tcPr>
            <w:tcW w:w="357"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6369231C">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535"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3269DB1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486"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09B8ABE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Serious⁻¹</w:t>
            </w:r>
          </w:p>
        </w:tc>
        <w:tc>
          <w:tcPr>
            <w:tcW w:w="478"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1EFAA2C3">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Very serious⁻²</w:t>
            </w:r>
          </w:p>
        </w:tc>
        <w:tc>
          <w:tcPr>
            <w:tcW w:w="480"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66BAB4FA">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Not serious</w:t>
            </w:r>
          </w:p>
        </w:tc>
        <w:tc>
          <w:tcPr>
            <w:tcW w:w="1021"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12358897">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Semi-patellar-tunnel ranked best (SUCRA 68.0%). Network RR 0.75 (95% CI 0.20–2.84) for double-suture-anchor vs. semi-patellar-tunnel. No technique demonstrated a statistically significant difference.</w:t>
            </w:r>
          </w:p>
        </w:tc>
        <w:tc>
          <w:tcPr>
            <w:tcW w:w="442" w:type="pct"/>
            <w:tcBorders>
              <w:top w:val="nil"/>
              <w:left w:val="nil"/>
              <w:bottom w:val="single" w:color="auto" w:sz="4" w:space="0"/>
              <w:right w:val="nil"/>
            </w:tcBorders>
            <w:shd w:val="clear" w:color="auto" w:fill="FFFFFF" w:themeFill="background1"/>
            <w:tcMar>
              <w:top w:w="40" w:type="dxa"/>
              <w:left w:w="60" w:type="dxa"/>
              <w:bottom w:w="40" w:type="dxa"/>
              <w:right w:w="60" w:type="dxa"/>
            </w:tcMar>
            <w:vAlign w:val="center"/>
          </w:tcPr>
          <w:p w14:paraId="523ED1CF">
            <w:pPr>
              <w:snapToGrid w:val="0"/>
              <w:spacing w:before="0" w:after="0" w:line="360" w:lineRule="auto"/>
              <w:ind w:left="0" w:leftChars="0" w:right="0" w:rightChars="0" w:firstLine="0" w:firstLineChars="0"/>
              <w:jc w:val="center"/>
              <w:rPr>
                <w:rFonts w:hint="default" w:ascii="Times New Roman" w:hAnsi="Times New Roman" w:eastAsia="Arial" w:cs="Times New Roman"/>
                <w:sz w:val="24"/>
                <w:szCs w:val="24"/>
              </w:rPr>
            </w:pPr>
            <w:r>
              <w:rPr>
                <w:rFonts w:hint="default" w:ascii="Times New Roman" w:hAnsi="Times New Roman" w:eastAsia="Arial" w:cs="Times New Roman"/>
                <w:sz w:val="24"/>
                <w:szCs w:val="24"/>
              </w:rPr>
              <w:t>⊕⊖⊖⊖
VERY LOW</w:t>
            </w:r>
          </w:p>
        </w:tc>
      </w:tr>
    </w:tbl>
    <w:p w14:paraId="7575C075">
      <w:pPr>
        <w:spacing w:before="160" w:after="60" w:line="360" w:lineRule="auto"/>
        <w:rPr>
          <w:rFonts w:hint="default" w:ascii="Times New Roman" w:hAnsi="Times New Roman" w:cs="Times New Roman"/>
          <w:sz w:val="24"/>
          <w:szCs w:val="24"/>
        </w:rPr>
      </w:pPr>
      <w:r>
        <w:rPr>
          <w:rFonts w:hint="default" w:ascii="Times New Roman" w:hAnsi="Times New Roman" w:eastAsia="Arial" w:cs="Times New Roman"/>
          <w:b/>
          <w:bCs/>
          <w:sz w:val="24"/>
          <w:szCs w:val="24"/>
        </w:rPr>
        <w:t xml:space="preserve">GRADE Working Group certainty of evidence ratings: </w:t>
      </w:r>
      <w:r>
        <w:rPr>
          <w:rFonts w:hint="default" w:ascii="Times New Roman" w:hAnsi="Times New Roman" w:eastAsia="Arial" w:cs="Times New Roman"/>
          <w:sz w:val="24"/>
          <w:szCs w:val="24"/>
        </w:rPr>
        <w:t>⊕⊕⊕⊕ = High (very confident that the true effect lies close to the estimate); ⊕⊕⊕⊖ = Moderate; ⊕⊕⊖⊖ = Low; ⊕⊖⊖⊖ = Very Low.</w:t>
      </w:r>
    </w:p>
    <w:p w14:paraId="17C9A3F1">
      <w:pPr>
        <w:spacing w:before="60" w:after="60" w:line="360" w:lineRule="auto"/>
        <w:rPr>
          <w:rFonts w:hint="default" w:ascii="Times New Roman" w:hAnsi="Times New Roman" w:cs="Times New Roman"/>
          <w:sz w:val="24"/>
          <w:szCs w:val="24"/>
        </w:rPr>
      </w:pPr>
      <w:r>
        <w:rPr>
          <w:rFonts w:hint="default" w:ascii="Times New Roman" w:hAnsi="Times New Roman" w:eastAsia="Arial" w:cs="Times New Roman"/>
          <w:sz w:val="24"/>
          <w:szCs w:val="24"/>
        </w:rPr>
        <w:t>CI = confidence interval; MD = mean difference; MCID = minimal clinically important difference; obs. = observational; RCT = randomised controlled trial; RR = risk ratio; SUCRA = surface under the cumulative ranking curve.</w:t>
      </w:r>
    </w:p>
    <w:p w14:paraId="3DAE18C2">
      <w:pPr>
        <w:spacing w:before="80" w:after="60" w:line="360" w:lineRule="auto"/>
        <w:rPr>
          <w:rFonts w:hint="default" w:ascii="Times New Roman" w:hAnsi="Times New Roman" w:cs="Times New Roman"/>
          <w:sz w:val="24"/>
          <w:szCs w:val="24"/>
        </w:rPr>
      </w:pPr>
      <w:r>
        <w:rPr>
          <w:rFonts w:hint="default" w:ascii="Times New Roman" w:hAnsi="Times New Roman" w:eastAsia="Arial" w:cs="Times New Roman"/>
          <w:b/>
          <w:bCs/>
          <w:sz w:val="24"/>
          <w:szCs w:val="24"/>
        </w:rPr>
        <w:t xml:space="preserve">Reasons for downgrading: </w:t>
      </w:r>
      <w:r>
        <w:rPr>
          <w:rFonts w:hint="default" w:ascii="Times New Roman" w:hAnsi="Times New Roman" w:eastAsia="Arial" w:cs="Times New Roman"/>
          <w:sz w:val="24"/>
          <w:szCs w:val="24"/>
        </w:rPr>
        <w:t xml:space="preserve">⁻¹ rated down one level; ⁻² rated down two levels. All outcomes started at Low certainty owing to the inclusion of both randomised and observational studies within the network. Risk of bias was rated down by one level because the network included six cohort studies (four retrospective and two prospective) susceptible to selection bias and unmeasured confounding, and all five RCTs had high risk of performance bias due to the inherent impossibility of blinding in surgical intervention trials. Indirectness was rated down by one level because of variability in effect modifiers across studies </w:t>
      </w:r>
      <w:r>
        <w:rPr>
          <w:rFonts w:hint="default" w:ascii="Times New Roman" w:hAnsi="Times New Roman" w:eastAsia="Arial" w:cs="Times New Roman"/>
          <w:color w:val="auto"/>
          <w:sz w:val="24"/>
          <w:szCs w:val="24"/>
        </w:rPr>
        <w:t xml:space="preserve">(e.g., age, skeletal maturity, TT-TG distance, trochlear dysplasia grade, graft type, and concomitant procedures), which were inconsistently reported and could not be adjusted for. </w:t>
      </w:r>
      <w:r>
        <w:rPr>
          <w:rFonts w:hint="default" w:ascii="Times New Roman" w:hAnsi="Times New Roman" w:eastAsia="Segoe UI" w:cs="Times New Roman"/>
          <w:i w:val="0"/>
          <w:iCs w:val="0"/>
          <w:caps w:val="0"/>
          <w:color w:val="auto"/>
          <w:spacing w:val="0"/>
          <w:sz w:val="24"/>
          <w:szCs w:val="24"/>
          <w:shd w:val="clear" w:fill="FFFFFF"/>
        </w:rPr>
        <w:t>Inconsistency was rated down by one level for the RPI outcome because the definition of RPI varied across studies (ranging from redislocation-only to composite endpoints), introducing clinical heterogeneity not captured by statistical measures. For the remaining three outcomes (Kujala score, revision rate, and surgical complications), inconsistency was not rated down (I² &lt; 50% for all outcomes, and node-splitting analysis detected no statistically significant inconsistency, all P &gt; 0.05); however, the limited number of closed loops in the network constrained our ability to rigorously assess consistency, and this limitation is acknowledged</w:t>
      </w:r>
      <w:r>
        <w:rPr>
          <w:rFonts w:hint="default" w:ascii="Times New Roman" w:hAnsi="Times New Roman" w:eastAsia="Arial" w:cs="Times New Roman"/>
          <w:color w:val="auto"/>
          <w:sz w:val="24"/>
          <w:szCs w:val="24"/>
        </w:rPr>
        <w:t>. Imprecision was rated down by two levels across all outcomes, driven by the modest total sample s</w:t>
      </w:r>
      <w:r>
        <w:rPr>
          <w:rFonts w:hint="default" w:ascii="Times New Roman" w:hAnsi="Times New Roman" w:eastAsia="Arial" w:cs="Times New Roman"/>
          <w:sz w:val="24"/>
          <w:szCs w:val="24"/>
        </w:rPr>
        <w:t>ize and extremely wide confidence intervals that encompassed both appreciable benefit and appreciable harm. For the revision rate outcome, publication bias (Egger test P = 0.002) constituted an additional reason for downgrading. No outcome was upgraded for large effect, dose–response gradient, or residual confounding.</w:t>
      </w:r>
    </w:p>
    <w:p w14:paraId="7BA0BCC4">
      <w:pPr>
        <w:spacing w:before="60" w:after="60" w:line="360" w:lineRule="auto"/>
        <w:rPr>
          <w:rFonts w:hint="default" w:ascii="Times New Roman" w:hAnsi="Times New Roman" w:cs="Times New Roman"/>
          <w:sz w:val="24"/>
          <w:szCs w:val="24"/>
        </w:rPr>
      </w:pPr>
      <w:r>
        <w:rPr>
          <w:rFonts w:hint="default" w:ascii="Times New Roman" w:hAnsi="Times New Roman" w:eastAsia="Arial" w:cs="Times New Roman"/>
          <w:sz w:val="24"/>
          <w:szCs w:val="24"/>
        </w:rPr>
        <w:t>Network estimates derived from the consistency model (Stata 18.0, network suite). Effect estimates represent specific comparison pairs as labeled; all comparisons were informed by both direct and indirect evidence where available</w:t>
      </w:r>
    </w:p>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F1417754-61BE-4B04-951C-20C92A5D61E7}"/>
    <w:docVar w:name="KY_MEDREF_VERSION" w:val="3"/>
  </w:docVars>
  <w:rsids>
    <w:rsidRoot w:val="00000000"/>
    <w:rsid w:val="08051708"/>
    <w:rsid w:val="0BBD717A"/>
    <w:rsid w:val="185B438B"/>
    <w:rsid w:val="1E322697"/>
    <w:rsid w:val="1F4568DA"/>
    <w:rsid w:val="20B40311"/>
    <w:rsid w:val="230547B6"/>
    <w:rsid w:val="30E02306"/>
    <w:rsid w:val="39681787"/>
    <w:rsid w:val="3C134C5F"/>
    <w:rsid w:val="4C922B3C"/>
    <w:rsid w:val="5C380AD9"/>
    <w:rsid w:val="5F063A34"/>
    <w:rsid w:val="61806B2B"/>
    <w:rsid w:val="73580781"/>
    <w:rsid w:val="73A43A5E"/>
    <w:rsid w:val="76DD5309"/>
    <w:rsid w:val="7BD3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val="0"/>
      <w:keepLines w:val="0"/>
      <w:spacing w:before="360" w:after="120"/>
      <w:outlineLvl w:val="0"/>
    </w:pPr>
    <w:rPr>
      <w:rFonts w:ascii="Arial" w:hAnsi="Arial" w:eastAsia="Arial" w:cs="Arial"/>
      <w:b/>
      <w:bCs/>
      <w:color w:val="2F5496"/>
      <w:sz w:val="28"/>
      <w:szCs w:val="2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1761</Words>
  <Characters>10175</Characters>
  <Lines>0</Lines>
  <Paragraphs>0</Paragraphs>
  <TotalTime>1</TotalTime>
  <ScaleCrop>false</ScaleCrop>
  <LinksUpToDate>false</LinksUpToDate>
  <CharactersWithSpaces>11612</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2026-07-18T14:29:00Z</dcterms:created>
  <dc:creator>A</dc:creator>
  <cp:lastModifiedBy>奉宣室何年</cp:lastModifiedBy>
  <dcterms:modified xsi:type="dcterms:W3CDTF">2026-07-19T07:22:46Z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eyJoZGlkIjoiNzI1MzljODBiNDliMzEyMzFlZWNlN2EzYjU0N2YzMWEiLCJ1c2VySWQiOiIyOTk1NDQ0NDIifQ==</vt:lpwstr>
  </property>
  <property fmtid="{D5CDD505-2E9C-101B-9397-08002B2CF9AE}" pid="4" name="ICV">
    <vt:lpwstr>6D77FF9EC7E24E578989A8AABFAFB40D_12</vt:lpwstr>
  </property>
</Properties>
</file>