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A54" w:rsidRPr="00A63E3A" w:rsidRDefault="00BB0943" w:rsidP="00A63E3A">
      <w:pPr>
        <w:spacing w:after="40" w:line="360" w:lineRule="auto"/>
        <w:jc w:val="both"/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</w:pP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Table (S</w:t>
      </w:r>
      <w:r w:rsidR="00A63E3A"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2</w:t>
      </w: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 xml:space="preserve">) : </w:t>
      </w:r>
      <w:r w:rsidR="00932A54"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Leave-One-Out Sensitivity Analysis for Postoperative Pain Scores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5080"/>
        <w:gridCol w:w="960"/>
        <w:gridCol w:w="960"/>
        <w:gridCol w:w="960"/>
      </w:tblGrid>
      <w:tr w:rsidR="00190AB2" w:rsidRPr="00A63E3A" w:rsidTr="00190AB2">
        <w:trPr>
          <w:trHeight w:val="34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Resting pain score 24h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-8.76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-1.43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-1.48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-0.86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-1.21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-0.5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-0.93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-2.52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-8.33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-0.79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-1.92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Imani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-0.5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-1.08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-1.35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4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proofErr w:type="spellStart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Ampulating</w:t>
            </w:r>
            <w:proofErr w:type="spellEnd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pain score 24h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-8.71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-0.4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-9.64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-0.28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-0.02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-2.44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-5.19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0.3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-9.21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0.09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-9.71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0.44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-5.71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-10.01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-1.41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-5.44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-10.79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-0.09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-5.29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-9.89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-0.7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-4.04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-8.45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8356DB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356DB">
              <w:rPr>
                <w:rFonts w:asciiTheme="majorBidi" w:eastAsia="Times New Roman" w:hAnsiTheme="majorBidi" w:cstheme="majorBidi"/>
                <w:color w:val="000000"/>
              </w:rPr>
              <w:t>0.38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Resting pain score 2w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-11.14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-1.82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-11.53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-3.95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-0.86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-0.76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-1.49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-11.74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-1.12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lastRenderedPageBreak/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-0.97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proofErr w:type="spellStart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Ampulating</w:t>
            </w:r>
            <w:proofErr w:type="spellEnd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pain score 2w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-8.93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-13.16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-4.69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-14.56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-5.53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-3.71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-8.49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-12.95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-4.03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-14.23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-4.61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-8.25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-12.72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-3.78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-14.93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-5.27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-9.01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-14.24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-3.78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Resting pain score ≥ 3m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-0.64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-0.12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-0.37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-0.68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Rienstra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W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-0.65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-0.44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-1.17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-0.54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-5.72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-0.81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8356DB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proofErr w:type="spellStart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Ampulating</w:t>
            </w:r>
            <w:proofErr w:type="spellEnd"/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pain score ≥ 3m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-0.89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-2.26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-0.61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-0.3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-0.78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Rienstra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W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-6.74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-0.88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-0.3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-0.45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190AB2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-1.39</w:t>
            </w:r>
          </w:p>
        </w:tc>
      </w:tr>
      <w:tr w:rsidR="00190AB2" w:rsidRPr="00A63E3A" w:rsidTr="00190AB2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-7.85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90AB2" w:rsidRPr="00190AB2" w:rsidRDefault="00190AB2" w:rsidP="00190AB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190AB2">
              <w:rPr>
                <w:rFonts w:asciiTheme="majorBidi" w:eastAsia="Times New Roman" w:hAnsiTheme="majorBidi" w:cstheme="majorBidi"/>
                <w:color w:val="000000"/>
              </w:rPr>
              <w:t>-1.19</w:t>
            </w:r>
          </w:p>
        </w:tc>
      </w:tr>
    </w:tbl>
    <w:p w:rsidR="00E46B99" w:rsidRPr="00A63E3A" w:rsidRDefault="00E46B99">
      <w:pPr>
        <w:rPr>
          <w:rFonts w:asciiTheme="majorBidi" w:hAnsiTheme="majorBidi" w:cstheme="majorBidi"/>
          <w:rtl/>
          <w:lang w:bidi="ar-EG"/>
        </w:rPr>
      </w:pPr>
    </w:p>
    <w:p w:rsidR="00932A54" w:rsidRPr="00A63E3A" w:rsidRDefault="00932A54">
      <w:pPr>
        <w:rPr>
          <w:rFonts w:asciiTheme="majorBidi" w:hAnsiTheme="majorBidi" w:cstheme="majorBidi"/>
          <w:rtl/>
          <w:lang w:bidi="ar-EG"/>
        </w:rPr>
      </w:pPr>
      <w:r w:rsidRPr="00A63E3A">
        <w:rPr>
          <w:rFonts w:asciiTheme="majorBidi" w:hAnsiTheme="majorBidi" w:cstheme="majorBidi"/>
          <w:rtl/>
          <w:lang w:bidi="ar-EG"/>
        </w:rPr>
        <w:br w:type="page"/>
      </w:r>
    </w:p>
    <w:p w:rsidR="00932A54" w:rsidRPr="00A63E3A" w:rsidRDefault="00BB0943" w:rsidP="000308E3">
      <w:pPr>
        <w:spacing w:after="40" w:line="360" w:lineRule="auto"/>
        <w:jc w:val="both"/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</w:pP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lastRenderedPageBreak/>
        <w:t>Table (S</w:t>
      </w:r>
      <w:r w:rsidR="000308E3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3</w:t>
      </w: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 xml:space="preserve">) : </w:t>
      </w:r>
      <w:r w:rsidR="00932A54"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Leave-One-Out Sensitivity Analysis for Postoperative Opioid Consumption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5080"/>
        <w:gridCol w:w="960"/>
        <w:gridCol w:w="960"/>
        <w:gridCol w:w="960"/>
      </w:tblGrid>
      <w:tr w:rsidR="00866900" w:rsidRPr="00A63E3A" w:rsidTr="00567C37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356DB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Opioid consumption 24h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-6.24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-15.39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2.92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-4.72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4.92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3.74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-5.60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-16.00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4.80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-15.59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-2.17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-6.84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-18.06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4.38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-7.15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-18.52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4.22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356DB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Opioid consumption 2d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-13.88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-33.76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5.99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-22.74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-44.17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-1.31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-28.45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-34.95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-21.95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-9.01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-33.21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15.19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-33.16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15.22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-31.29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14.52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356DB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Opioid consumption 3d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-17.89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-3.34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-16.26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-1.36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-18.67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-2.49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-17.26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-0.01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-12.39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-20.37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-4.40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-12.65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-20.45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-4.84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356DB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Opioid consumption 7d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 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-9.44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1.73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-8.00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-21.00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5.01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-5.81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-17.44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5.82</w:t>
            </w:r>
          </w:p>
        </w:tc>
      </w:tr>
      <w:tr w:rsidR="00866900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A63E3A" w:rsidRDefault="00866900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-14.65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-16.83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66900" w:rsidRPr="00866900" w:rsidRDefault="00866900" w:rsidP="008669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866900">
              <w:rPr>
                <w:rFonts w:asciiTheme="majorBidi" w:eastAsia="Times New Roman" w:hAnsiTheme="majorBidi" w:cstheme="majorBidi"/>
                <w:color w:val="000000"/>
              </w:rPr>
              <w:t>-12.46</w:t>
            </w:r>
          </w:p>
        </w:tc>
      </w:tr>
    </w:tbl>
    <w:p w:rsidR="00932A54" w:rsidRPr="00A63E3A" w:rsidRDefault="00932A54">
      <w:pPr>
        <w:rPr>
          <w:rFonts w:asciiTheme="majorBidi" w:hAnsiTheme="majorBidi" w:cstheme="majorBidi"/>
          <w:rtl/>
          <w:lang w:bidi="ar-EG"/>
        </w:rPr>
      </w:pPr>
    </w:p>
    <w:p w:rsidR="00932A54" w:rsidRPr="00A63E3A" w:rsidRDefault="00932A54">
      <w:pPr>
        <w:rPr>
          <w:rFonts w:asciiTheme="majorBidi" w:hAnsiTheme="majorBidi" w:cstheme="majorBidi"/>
          <w:rtl/>
          <w:lang w:bidi="ar-EG"/>
        </w:rPr>
      </w:pPr>
    </w:p>
    <w:p w:rsidR="00932A54" w:rsidRPr="00A63E3A" w:rsidRDefault="00932A54">
      <w:pPr>
        <w:rPr>
          <w:rFonts w:asciiTheme="majorBidi" w:hAnsiTheme="majorBidi" w:cstheme="majorBidi"/>
          <w:rtl/>
          <w:lang w:bidi="ar-EG"/>
        </w:rPr>
      </w:pPr>
      <w:r w:rsidRPr="00A63E3A">
        <w:rPr>
          <w:rFonts w:asciiTheme="majorBidi" w:hAnsiTheme="majorBidi" w:cstheme="majorBidi"/>
          <w:rtl/>
          <w:lang w:bidi="ar-EG"/>
        </w:rPr>
        <w:br w:type="page"/>
      </w:r>
    </w:p>
    <w:p w:rsidR="00932A54" w:rsidRPr="00A63E3A" w:rsidRDefault="00932A54" w:rsidP="000308E3">
      <w:pPr>
        <w:spacing w:after="40" w:line="360" w:lineRule="auto"/>
        <w:jc w:val="both"/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</w:pP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lastRenderedPageBreak/>
        <w:t xml:space="preserve">Table </w:t>
      </w:r>
      <w:r w:rsidR="00BB0943"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(</w:t>
      </w: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S</w:t>
      </w:r>
      <w:r w:rsidR="000308E3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4</w:t>
      </w:r>
      <w:bookmarkStart w:id="0" w:name="_GoBack"/>
      <w:bookmarkEnd w:id="0"/>
      <w:r w:rsidR="00BB0943"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>) :</w:t>
      </w:r>
      <w:r w:rsidRPr="00A63E3A">
        <w:rPr>
          <w:rFonts w:asciiTheme="majorBidi" w:eastAsia="Calibri" w:hAnsiTheme="majorBidi" w:cstheme="majorBidi"/>
          <w:b/>
          <w:kern w:val="2"/>
          <w:lang w:bidi="en-US"/>
          <w14:ligatures w14:val="standardContextual"/>
        </w:rPr>
        <w:t xml:space="preserve"> Leave-One-Out Sensitivity Analysis for Adverse Effects</w:t>
      </w:r>
    </w:p>
    <w:tbl>
      <w:tblPr>
        <w:tblW w:w="7960" w:type="dxa"/>
        <w:tblInd w:w="93" w:type="dxa"/>
        <w:tblLook w:val="04A0" w:firstRow="1" w:lastRow="0" w:firstColumn="1" w:lastColumn="0" w:noHBand="0" w:noVBand="1"/>
      </w:tblPr>
      <w:tblGrid>
        <w:gridCol w:w="5080"/>
        <w:gridCol w:w="960"/>
        <w:gridCol w:w="960"/>
        <w:gridCol w:w="960"/>
      </w:tblGrid>
      <w:tr w:rsidR="00567C37" w:rsidRPr="00A63E3A" w:rsidTr="00567C37">
        <w:trPr>
          <w:trHeight w:val="315"/>
        </w:trPr>
        <w:tc>
          <w:tcPr>
            <w:tcW w:w="5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Nausea/Vomiting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0.99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0.94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0.94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Fatigue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0.99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0.99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Dry mouth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1.24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1.19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Constipation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lastRenderedPageBreak/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1.14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1.08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1.15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Dizziness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1.46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1.51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Koh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IJ 2019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1.38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Kim MS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1.43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1.52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1.57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1.49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Inamullah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2023 ‡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1.81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Pinsornsak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1.3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1.52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Outcome / Omitted Study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CI max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Drowsiness/Somnolence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 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Original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2.78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Ho K-Y 2010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2.92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Li H 2021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2.81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 w:rsidRPr="00A63E3A">
              <w:rPr>
                <w:rFonts w:asciiTheme="majorBidi" w:eastAsia="Times New Roman" w:hAnsiTheme="majorBidi" w:cstheme="majorBidi"/>
                <w:color w:val="000000"/>
              </w:rPr>
              <w:t>YaDeau</w:t>
            </w:r>
            <w:proofErr w:type="spellEnd"/>
            <w:r w:rsidRPr="00A63E3A">
              <w:rPr>
                <w:rFonts w:asciiTheme="majorBidi" w:eastAsia="Times New Roman" w:hAnsiTheme="majorBidi" w:cstheme="majorBidi"/>
                <w:color w:val="000000"/>
              </w:rPr>
              <w:t xml:space="preserve"> JT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3.22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Yuan M 2022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2.95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Omitted Ding 2023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2.82</w:t>
            </w:r>
          </w:p>
        </w:tc>
      </w:tr>
      <w:tr w:rsidR="00567C37" w:rsidRPr="00A63E3A" w:rsidTr="00567C37">
        <w:trPr>
          <w:trHeight w:val="315"/>
        </w:trPr>
        <w:tc>
          <w:tcPr>
            <w:tcW w:w="5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40116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Omitted </w:t>
            </w:r>
            <w:proofErr w:type="spellStart"/>
            <w:r>
              <w:rPr>
                <w:rFonts w:asciiTheme="majorBidi" w:eastAsia="Times New Roman" w:hAnsiTheme="majorBidi" w:cstheme="majorBidi"/>
                <w:color w:val="000000"/>
              </w:rPr>
              <w:t>Rajani</w:t>
            </w:r>
            <w:proofErr w:type="spellEnd"/>
            <w:r>
              <w:rPr>
                <w:rFonts w:asciiTheme="majorBidi" w:eastAsia="Times New Roman" w:hAnsiTheme="majorBidi" w:cstheme="majorBidi"/>
                <w:color w:val="000000"/>
              </w:rPr>
              <w:t xml:space="preserve"> 2024 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67C37" w:rsidRPr="00A63E3A" w:rsidRDefault="00567C37" w:rsidP="00567C3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</w:rPr>
            </w:pPr>
            <w:r w:rsidRPr="00A63E3A">
              <w:rPr>
                <w:rFonts w:asciiTheme="majorBidi" w:eastAsia="Times New Roman" w:hAnsiTheme="majorBidi" w:cstheme="majorBidi"/>
                <w:color w:val="000000"/>
              </w:rPr>
              <w:t>2.66</w:t>
            </w:r>
          </w:p>
        </w:tc>
      </w:tr>
    </w:tbl>
    <w:p w:rsidR="00540116" w:rsidRPr="00540116" w:rsidRDefault="00540116" w:rsidP="00540116">
      <w:pPr>
        <w:spacing w:before="100" w:after="100" w:line="360" w:lineRule="auto"/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</w:pPr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†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Rajani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et al. (2024) enrolled patients undergoing single-setting bilateral TKA and was subjected to a dedicated sensitivity analysis in addition to the standard leave-one-out procedure. This study contributed data to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rVAS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and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aVAS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analyses at 2 weeks and ≥3 months, and to adverse effect outcomes; it did not contribute to 24-hour VAS or any opioid consumption analyses, and consequently does not appear as an omitted-study row in those sections of this table.</w:t>
      </w:r>
    </w:p>
    <w:p w:rsidR="00E46B99" w:rsidRPr="00F56928" w:rsidRDefault="00540116" w:rsidP="00540116">
      <w:pPr>
        <w:spacing w:before="100" w:after="100" w:line="360" w:lineRule="auto"/>
        <w:jc w:val="both"/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</w:pPr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‡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Inamullah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et al. (2023) was subjected to a dedicated sensitivity analysis in view of methodological concerns (open-label design, blinding not</w:t>
      </w:r>
      <w:r w:rsidR="00CD0CB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reported</w:t>
      </w:r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). This study contributed data </w:t>
      </w:r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lastRenderedPageBreak/>
        <w:t xml:space="preserve">to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rVAS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at 24 hours,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rVAS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at ≥3 months, and to the following adverse effect outcomes: nausea/vomiting, fatigue, dry mouth, constipation, and dizziness. It did not contribute data to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aVAS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 at any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timepoint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 xml:space="preserve">, to opioid consumption outcomes at any </w:t>
      </w:r>
      <w:proofErr w:type="spellStart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timepoint</w:t>
      </w:r>
      <w:proofErr w:type="spellEnd"/>
      <w:r w:rsidRPr="00540116">
        <w:rPr>
          <w:rFonts w:asciiTheme="majorBidi" w:eastAsia="Calibri" w:hAnsiTheme="majorBidi" w:cstheme="majorBidi"/>
          <w:bCs/>
          <w:kern w:val="2"/>
          <w:lang w:bidi="en-US"/>
          <w14:ligatures w14:val="standardContextual"/>
        </w:rPr>
        <w:t>, or to drowsiness/somnolence, and consequently does not appear as an omitted-study row in those sections of this table.</w:t>
      </w:r>
    </w:p>
    <w:p w:rsidR="00BB0943" w:rsidRPr="00A63E3A" w:rsidRDefault="00BB0943">
      <w:pPr>
        <w:rPr>
          <w:rFonts w:asciiTheme="majorBidi" w:hAnsiTheme="majorBidi" w:cstheme="majorBidi"/>
          <w:rtl/>
          <w:lang w:bidi="ar-EG"/>
        </w:rPr>
      </w:pPr>
    </w:p>
    <w:sectPr w:rsidR="00BB0943" w:rsidRPr="00A63E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22D"/>
    <w:rsid w:val="000308E3"/>
    <w:rsid w:val="000C4B5E"/>
    <w:rsid w:val="000E4972"/>
    <w:rsid w:val="00161AFE"/>
    <w:rsid w:val="00190AB2"/>
    <w:rsid w:val="001A2402"/>
    <w:rsid w:val="001D30AA"/>
    <w:rsid w:val="0028422D"/>
    <w:rsid w:val="002853A8"/>
    <w:rsid w:val="002B7928"/>
    <w:rsid w:val="002F4C77"/>
    <w:rsid w:val="00381549"/>
    <w:rsid w:val="003E7BAB"/>
    <w:rsid w:val="00404094"/>
    <w:rsid w:val="0043704E"/>
    <w:rsid w:val="004C7341"/>
    <w:rsid w:val="00540116"/>
    <w:rsid w:val="00567C37"/>
    <w:rsid w:val="00586AAA"/>
    <w:rsid w:val="005A6387"/>
    <w:rsid w:val="005E04F8"/>
    <w:rsid w:val="0065025D"/>
    <w:rsid w:val="00757F4E"/>
    <w:rsid w:val="00785B3D"/>
    <w:rsid w:val="007A40FC"/>
    <w:rsid w:val="008356DB"/>
    <w:rsid w:val="00835CED"/>
    <w:rsid w:val="00866900"/>
    <w:rsid w:val="00871045"/>
    <w:rsid w:val="00883DDA"/>
    <w:rsid w:val="008A4D91"/>
    <w:rsid w:val="008C3006"/>
    <w:rsid w:val="00932A54"/>
    <w:rsid w:val="009F4590"/>
    <w:rsid w:val="00A01E86"/>
    <w:rsid w:val="00A06407"/>
    <w:rsid w:val="00A43A36"/>
    <w:rsid w:val="00A63E3A"/>
    <w:rsid w:val="00AE4769"/>
    <w:rsid w:val="00B535C1"/>
    <w:rsid w:val="00B65042"/>
    <w:rsid w:val="00B72896"/>
    <w:rsid w:val="00B80868"/>
    <w:rsid w:val="00B933CB"/>
    <w:rsid w:val="00BB0943"/>
    <w:rsid w:val="00BD212D"/>
    <w:rsid w:val="00BE5BE4"/>
    <w:rsid w:val="00C2201A"/>
    <w:rsid w:val="00C32865"/>
    <w:rsid w:val="00C40997"/>
    <w:rsid w:val="00CD0CB6"/>
    <w:rsid w:val="00CE20E3"/>
    <w:rsid w:val="00D36E23"/>
    <w:rsid w:val="00D60146"/>
    <w:rsid w:val="00D92455"/>
    <w:rsid w:val="00E46B99"/>
    <w:rsid w:val="00E85200"/>
    <w:rsid w:val="00EC4ABA"/>
    <w:rsid w:val="00F52512"/>
    <w:rsid w:val="00F56928"/>
    <w:rsid w:val="00FA7946"/>
    <w:rsid w:val="00FD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32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A5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932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2A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9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1100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dcterms:created xsi:type="dcterms:W3CDTF">2026-02-20T05:32:00Z</dcterms:created>
  <dcterms:modified xsi:type="dcterms:W3CDTF">2026-05-30T15:50:00Z</dcterms:modified>
</cp:coreProperties>
</file>