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A54" w:rsidRDefault="00BA5A51" w:rsidP="00BA5A51">
      <w:pPr>
        <w:spacing w:after="40" w:line="360" w:lineRule="auto"/>
        <w:jc w:val="both"/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</w:pPr>
      <w:r w:rsidRPr="00A63E3A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>Table (S</w:t>
      </w:r>
      <w:r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>5</w:t>
      </w:r>
      <w:r w:rsidRPr="00A63E3A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 xml:space="preserve">) : </w:t>
      </w:r>
      <w:r w:rsidR="004258CF" w:rsidRPr="004258CF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>Background analgesic regimens and rescue analgesia protocols for each included trial</w:t>
      </w:r>
      <w:bookmarkStart w:id="0" w:name="_GoBack"/>
      <w:bookmarkEnd w:id="0"/>
    </w:p>
    <w:tbl>
      <w:tblPr>
        <w:tblW w:w="0" w:type="auto"/>
        <w:jc w:val="center"/>
        <w:tblInd w:w="-2643" w:type="dxa"/>
        <w:tblLook w:val="04A0" w:firstRow="1" w:lastRow="0" w:firstColumn="1" w:lastColumn="0" w:noHBand="0" w:noVBand="1"/>
      </w:tblPr>
      <w:tblGrid>
        <w:gridCol w:w="1040"/>
        <w:gridCol w:w="1373"/>
        <w:gridCol w:w="3727"/>
        <w:gridCol w:w="2498"/>
        <w:gridCol w:w="1373"/>
        <w:gridCol w:w="1488"/>
      </w:tblGrid>
      <w:tr w:rsidR="00402399" w:rsidRPr="00402399" w:rsidTr="00633C0F">
        <w:trPr>
          <w:trHeight w:val="330"/>
          <w:jc w:val="center"/>
        </w:trPr>
        <w:tc>
          <w:tcPr>
            <w:tcW w:w="1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Study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Anesthesia type</w:t>
            </w:r>
          </w:p>
        </w:tc>
        <w:tc>
          <w:tcPr>
            <w:tcW w:w="35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Regional block / LIA</w:t>
            </w: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Scheduled 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peri</w:t>
            </w:r>
            <w:proofErr w:type="spellEnd"/>
            <w:r w:rsidR="00352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4023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operative analgesics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Intra</w:t>
            </w:r>
            <w:r w:rsidR="00352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4023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operative adjuncts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Rescue analgesia</w:t>
            </w:r>
          </w:p>
        </w:tc>
      </w:tr>
      <w:tr w:rsidR="00402399" w:rsidRPr="00402399" w:rsidTr="00633C0F">
        <w:trPr>
          <w:trHeight w:val="330"/>
          <w:jc w:val="center"/>
        </w:trPr>
        <w:tc>
          <w:tcPr>
            <w:tcW w:w="1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 K-Y 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Spinal or GA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None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PCM 1 g q6h; NSAIDs prohibited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IV morphine ≤0.1 mg/kg 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intraop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PCA IV morphine (1 mg bolus, 5-min lockout)</w:t>
            </w:r>
          </w:p>
        </w:tc>
      </w:tr>
      <w:tr w:rsidR="00402399" w:rsidRPr="00402399" w:rsidTr="00633C0F">
        <w:trPr>
          <w:trHeight w:val="645"/>
          <w:jc w:val="center"/>
        </w:trPr>
        <w:tc>
          <w:tcPr>
            <w:tcW w:w="1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YaDeau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JT 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CSE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ACB (bupivacaine + dexamethasone)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Meloxicam 15 mg/d; PCEA (bupivacaine/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hydromorphone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until POD1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ketorolac; IV dexamethasone 4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 oxycodone/PCM PRN</w:t>
            </w:r>
          </w:p>
        </w:tc>
      </w:tr>
      <w:tr w:rsidR="00402399" w:rsidRPr="00402399" w:rsidTr="00633C0F">
        <w:trPr>
          <w:trHeight w:val="330"/>
          <w:jc w:val="center"/>
        </w:trPr>
        <w:tc>
          <w:tcPr>
            <w:tcW w:w="1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Koh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IJ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None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Celecoxib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pregabalin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oxycodone; tramadol; PCM (post-op scheduled)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Tourniquet 300 mmHg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PCA IV fentanyl (on-demand only)</w:t>
            </w:r>
          </w:p>
        </w:tc>
      </w:tr>
      <w:tr w:rsidR="00402399" w:rsidRPr="00402399" w:rsidTr="00633C0F">
        <w:trPr>
          <w:trHeight w:val="330"/>
          <w:jc w:val="center"/>
        </w:trPr>
        <w:tc>
          <w:tcPr>
            <w:tcW w:w="1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MS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LIA (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ropivacaine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/morphine/ketorolac)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Celecoxib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pregabalin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oxycodone; tramadol; PCM (post-op scheduled)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Tourniquet 300 mmHg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PCA IV fentanyl; IM tramadol (VAS &gt;6)</w:t>
            </w:r>
          </w:p>
        </w:tc>
      </w:tr>
      <w:tr w:rsidR="00402399" w:rsidRPr="00402399" w:rsidTr="00633C0F">
        <w:trPr>
          <w:trHeight w:val="330"/>
          <w:jc w:val="center"/>
        </w:trPr>
        <w:tc>
          <w:tcPr>
            <w:tcW w:w="1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 H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LIA (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ropivacaine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0.25%, 80 mL)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Celecoxib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 mg BID (pre-op D−2 to 2 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wk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post-op)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None specified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morphine 5 mg PRN (VAS &gt;6)</w:t>
            </w:r>
          </w:p>
        </w:tc>
      </w:tr>
      <w:tr w:rsidR="00402399" w:rsidRPr="00402399" w:rsidTr="00633C0F">
        <w:trPr>
          <w:trHeight w:val="645"/>
          <w:jc w:val="center"/>
        </w:trPr>
        <w:tc>
          <w:tcPr>
            <w:tcW w:w="1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Rienstra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 (local protocols)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Ongoing pre-existing analgesics continued; 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gabapentinoids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prohibited 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perioperatively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Unrestricted (except 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gabapentinoids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402399" w:rsidRPr="00402399" w:rsidTr="00633C0F">
        <w:trPr>
          <w:trHeight w:val="330"/>
          <w:jc w:val="center"/>
        </w:trPr>
        <w:tc>
          <w:tcPr>
            <w:tcW w:w="1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Yuan M 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LIA (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ropivacaine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0.25%, 80 mL)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Celecoxib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 mg BID (pre-op D−2 to 3 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wk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post-op)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TXA (pre-incision + post-op ×2); no tourniquet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Oxycodone PO or morphine SC PRN (VAS &gt;6)</w:t>
            </w:r>
          </w:p>
        </w:tc>
      </w:tr>
      <w:tr w:rsidR="00402399" w:rsidRPr="00402399" w:rsidTr="00633C0F">
        <w:trPr>
          <w:trHeight w:val="645"/>
          <w:jc w:val="center"/>
        </w:trPr>
        <w:tc>
          <w:tcPr>
            <w:tcW w:w="1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YaDeau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JT 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Spinal-epidural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ACB + IPACK (bupivacaine); LIA (bupivacaine/epinephrine/methylprednisolone)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PCM 1 g IV × 4 then PO q8h; ketorolac IV → meloxicam 15 mg/d PO; SR oxycodone 10 mg pre-op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Tourniquet; IV ketamine 30–50 mg; IV dexamethasone 4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 oxycodone 5–10 mg PRN</w:t>
            </w:r>
          </w:p>
        </w:tc>
      </w:tr>
      <w:tr w:rsidR="00402399" w:rsidRPr="00402399" w:rsidTr="00633C0F">
        <w:trPr>
          <w:trHeight w:val="330"/>
          <w:jc w:val="center"/>
        </w:trPr>
        <w:tc>
          <w:tcPr>
            <w:tcW w:w="1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Ding 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LIA (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ropivacaine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0.25%, 80 mL)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Celecoxib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 mg q12h; IV </w:t>
            </w: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dexamethasone 10 mg ×2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None specified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IV morphine 5 mg PRN </w:t>
            </w: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(VAS &gt;6)</w:t>
            </w:r>
          </w:p>
        </w:tc>
      </w:tr>
      <w:tr w:rsidR="00402399" w:rsidRPr="00402399" w:rsidTr="00633C0F">
        <w:trPr>
          <w:trHeight w:val="330"/>
          <w:jc w:val="center"/>
        </w:trPr>
        <w:tc>
          <w:tcPr>
            <w:tcW w:w="1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Imani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Spinal (bupivacaine + fentanyl)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None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 scheduled background analgesics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None specified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PCM 1 g (VAS &gt;3)</w:t>
            </w:r>
          </w:p>
        </w:tc>
      </w:tr>
      <w:tr w:rsidR="00402399" w:rsidRPr="00402399" w:rsidTr="00633C0F">
        <w:trPr>
          <w:trHeight w:val="330"/>
          <w:jc w:val="center"/>
        </w:trPr>
        <w:tc>
          <w:tcPr>
            <w:tcW w:w="1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Inamullah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Regional (unspecified)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NSAIDs pre-op (no standardized schedule); no post-op protocol described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None specified</w:t>
            </w:r>
          </w:p>
        </w:tc>
      </w:tr>
      <w:tr w:rsidR="00402399" w:rsidRPr="00402399" w:rsidTr="00633C0F">
        <w:trPr>
          <w:trHeight w:val="645"/>
          <w:jc w:val="center"/>
        </w:trPr>
        <w:tc>
          <w:tcPr>
            <w:tcW w:w="1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Pinsornsak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Spinal + continuous epidural (24 h)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LIA cocktailᵃ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Parecoxib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IV 40 mg q12h (48 h) → 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celecoxib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 mg/d PO; PCM 1 g q8h; pre-op: 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celecoxib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PCM, 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pregabalin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Tourniquet; IV dexamethasone 8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morphine 3 mg q4h PRN (VAS ≥4); tramadol 50 mg PO PRN after discharge</w:t>
            </w:r>
          </w:p>
        </w:tc>
      </w:tr>
      <w:tr w:rsidR="00402399" w:rsidRPr="00402399" w:rsidTr="00633C0F">
        <w:trPr>
          <w:trHeight w:val="645"/>
          <w:jc w:val="center"/>
        </w:trPr>
        <w:tc>
          <w:tcPr>
            <w:tcW w:w="1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Rajani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Spinal (bupivacaine + buprenorphine)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Adductor canal infiltrationᵇ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IV PCM 1 g q8h (day of surgery); 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etoricoxib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60 mg q8h PO from POD1 to </w:t>
            </w: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wk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TXA 10 mg/kg; tourniquet (available, not used)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399" w:rsidRPr="00402399" w:rsidRDefault="00402399" w:rsidP="004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Etoricoxib</w:t>
            </w:r>
            <w:proofErr w:type="spellEnd"/>
            <w:r w:rsidRPr="0040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60 mg SOS (VAS ≥5)</w:t>
            </w:r>
          </w:p>
        </w:tc>
      </w:tr>
    </w:tbl>
    <w:p w:rsidR="00352753" w:rsidRPr="00352753" w:rsidRDefault="00352753" w:rsidP="003527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753">
        <w:rPr>
          <w:rFonts w:ascii="Times New Roman" w:eastAsia="Times New Roman" w:hAnsi="Times New Roman" w:cs="Times New Roman"/>
          <w:sz w:val="24"/>
          <w:szCs w:val="24"/>
        </w:rPr>
        <w:t xml:space="preserve">ACB, adductor canal block; BID, twice daily; CSE, combined spinal-epidural; GA, general anesthesia; IPACK, interspace between the popliteal artery and posterior knee capsule block; IV, intravenous; LIA, local infiltration analgesia; NR, not reported; PCA, patient-controlled analgesia; PCM, </w:t>
      </w:r>
      <w:proofErr w:type="spellStart"/>
      <w:r w:rsidRPr="00352753">
        <w:rPr>
          <w:rFonts w:ascii="Times New Roman" w:eastAsia="Times New Roman" w:hAnsi="Times New Roman" w:cs="Times New Roman"/>
          <w:sz w:val="24"/>
          <w:szCs w:val="24"/>
        </w:rPr>
        <w:t>paracetamol</w:t>
      </w:r>
      <w:proofErr w:type="spellEnd"/>
      <w:r w:rsidRPr="00352753">
        <w:rPr>
          <w:rFonts w:ascii="Times New Roman" w:eastAsia="Times New Roman" w:hAnsi="Times New Roman" w:cs="Times New Roman"/>
          <w:sz w:val="24"/>
          <w:szCs w:val="24"/>
        </w:rPr>
        <w:t xml:space="preserve">; PCEA, patient-controlled epidural analgesia; POD, postoperative day; PO, oral; PRN, as needed; SC, subcutaneous; SOS, as needed; SR, sustained-release; TXA, </w:t>
      </w:r>
      <w:proofErr w:type="spellStart"/>
      <w:r w:rsidRPr="00352753">
        <w:rPr>
          <w:rFonts w:ascii="Times New Roman" w:eastAsia="Times New Roman" w:hAnsi="Times New Roman" w:cs="Times New Roman"/>
          <w:sz w:val="24"/>
          <w:szCs w:val="24"/>
        </w:rPr>
        <w:t>tranexamic</w:t>
      </w:r>
      <w:proofErr w:type="spellEnd"/>
      <w:r w:rsidRPr="00352753">
        <w:rPr>
          <w:rFonts w:ascii="Times New Roman" w:eastAsia="Times New Roman" w:hAnsi="Times New Roman" w:cs="Times New Roman"/>
          <w:sz w:val="24"/>
          <w:szCs w:val="24"/>
        </w:rPr>
        <w:t xml:space="preserve"> acid; VAS, visual analogue scale. ᵃ </w:t>
      </w:r>
      <w:proofErr w:type="spellStart"/>
      <w:r w:rsidRPr="00352753">
        <w:rPr>
          <w:rFonts w:ascii="Times New Roman" w:eastAsia="Times New Roman" w:hAnsi="Times New Roman" w:cs="Times New Roman"/>
          <w:sz w:val="24"/>
          <w:szCs w:val="24"/>
        </w:rPr>
        <w:t>Pinsornsak</w:t>
      </w:r>
      <w:proofErr w:type="spellEnd"/>
      <w:r w:rsidRPr="00352753">
        <w:rPr>
          <w:rFonts w:ascii="Times New Roman" w:eastAsia="Times New Roman" w:hAnsi="Times New Roman" w:cs="Times New Roman"/>
          <w:sz w:val="24"/>
          <w:szCs w:val="24"/>
        </w:rPr>
        <w:t xml:space="preserve"> 2024 LIA cocktail: bupivacaine 0.5% 100 mg, adrenaline 0.6 mg, ketorolac 30 mg, </w:t>
      </w:r>
      <w:proofErr w:type="spellStart"/>
      <w:r w:rsidRPr="00352753">
        <w:rPr>
          <w:rFonts w:ascii="Times New Roman" w:eastAsia="Times New Roman" w:hAnsi="Times New Roman" w:cs="Times New Roman"/>
          <w:sz w:val="24"/>
          <w:szCs w:val="24"/>
        </w:rPr>
        <w:t>tranexamic</w:t>
      </w:r>
      <w:proofErr w:type="spellEnd"/>
      <w:r w:rsidRPr="00352753">
        <w:rPr>
          <w:rFonts w:ascii="Times New Roman" w:eastAsia="Times New Roman" w:hAnsi="Times New Roman" w:cs="Times New Roman"/>
          <w:sz w:val="24"/>
          <w:szCs w:val="24"/>
        </w:rPr>
        <w:t xml:space="preserve"> acid 1 g, morphine 5 mg in 100 mL normal saline. ᵇ </w:t>
      </w:r>
      <w:proofErr w:type="spellStart"/>
      <w:r w:rsidRPr="00352753">
        <w:rPr>
          <w:rFonts w:ascii="Times New Roman" w:eastAsia="Times New Roman" w:hAnsi="Times New Roman" w:cs="Times New Roman"/>
          <w:sz w:val="24"/>
          <w:szCs w:val="24"/>
        </w:rPr>
        <w:t>Rajani</w:t>
      </w:r>
      <w:proofErr w:type="spellEnd"/>
      <w:r w:rsidRPr="00352753">
        <w:rPr>
          <w:rFonts w:ascii="Times New Roman" w:eastAsia="Times New Roman" w:hAnsi="Times New Roman" w:cs="Times New Roman"/>
          <w:sz w:val="24"/>
          <w:szCs w:val="24"/>
        </w:rPr>
        <w:t xml:space="preserve"> 2024 adductor canal infiltration: bupivacaine 0.5% 20 mL, fentanyl 200 µg, clonidine 50 µg, methylprednisolone acetate, ketorolac; administered through the incision site.</w:t>
      </w:r>
    </w:p>
    <w:sectPr w:rsidR="00352753" w:rsidRPr="0035275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22D"/>
    <w:rsid w:val="000C4B5E"/>
    <w:rsid w:val="000E4972"/>
    <w:rsid w:val="00161AFE"/>
    <w:rsid w:val="00190AB2"/>
    <w:rsid w:val="001A2402"/>
    <w:rsid w:val="001D30AA"/>
    <w:rsid w:val="0028422D"/>
    <w:rsid w:val="002853A8"/>
    <w:rsid w:val="002B7928"/>
    <w:rsid w:val="002F4C77"/>
    <w:rsid w:val="00352753"/>
    <w:rsid w:val="00381549"/>
    <w:rsid w:val="003E7BAB"/>
    <w:rsid w:val="00402399"/>
    <w:rsid w:val="00404094"/>
    <w:rsid w:val="004258CF"/>
    <w:rsid w:val="0043704E"/>
    <w:rsid w:val="004C7341"/>
    <w:rsid w:val="00540116"/>
    <w:rsid w:val="00567C37"/>
    <w:rsid w:val="00586AAA"/>
    <w:rsid w:val="005A6387"/>
    <w:rsid w:val="005E04F8"/>
    <w:rsid w:val="00633C0F"/>
    <w:rsid w:val="0065025D"/>
    <w:rsid w:val="00757F4E"/>
    <w:rsid w:val="00785B3D"/>
    <w:rsid w:val="007A40FC"/>
    <w:rsid w:val="007A6BE8"/>
    <w:rsid w:val="008356DB"/>
    <w:rsid w:val="00835CED"/>
    <w:rsid w:val="00866900"/>
    <w:rsid w:val="00871045"/>
    <w:rsid w:val="008747D0"/>
    <w:rsid w:val="00883DDA"/>
    <w:rsid w:val="008A4D91"/>
    <w:rsid w:val="008C3006"/>
    <w:rsid w:val="00932A54"/>
    <w:rsid w:val="009F4590"/>
    <w:rsid w:val="00A01E86"/>
    <w:rsid w:val="00A06407"/>
    <w:rsid w:val="00A43A36"/>
    <w:rsid w:val="00A63E3A"/>
    <w:rsid w:val="00AE4769"/>
    <w:rsid w:val="00B535C1"/>
    <w:rsid w:val="00B65042"/>
    <w:rsid w:val="00B72896"/>
    <w:rsid w:val="00B80868"/>
    <w:rsid w:val="00B933CB"/>
    <w:rsid w:val="00BA5A51"/>
    <w:rsid w:val="00BB0943"/>
    <w:rsid w:val="00BD212D"/>
    <w:rsid w:val="00BE5BE4"/>
    <w:rsid w:val="00C2201A"/>
    <w:rsid w:val="00C32865"/>
    <w:rsid w:val="00C40997"/>
    <w:rsid w:val="00CD0CB6"/>
    <w:rsid w:val="00CE20E3"/>
    <w:rsid w:val="00D36E23"/>
    <w:rsid w:val="00D60146"/>
    <w:rsid w:val="00D92455"/>
    <w:rsid w:val="00E46B99"/>
    <w:rsid w:val="00E85200"/>
    <w:rsid w:val="00EC4ABA"/>
    <w:rsid w:val="00F52512"/>
    <w:rsid w:val="00F56928"/>
    <w:rsid w:val="00FA7946"/>
    <w:rsid w:val="00FD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932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2A54"/>
    <w:rPr>
      <w:b/>
      <w:bCs/>
    </w:rPr>
  </w:style>
  <w:style w:type="paragraph" w:customStyle="1" w:styleId="font-claude-response-body">
    <w:name w:val="font-claude-response-body"/>
    <w:basedOn w:val="Normal"/>
    <w:rsid w:val="00352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solute">
    <w:name w:val="absolute"/>
    <w:basedOn w:val="DefaultParagraphFont"/>
    <w:rsid w:val="00352753"/>
  </w:style>
  <w:style w:type="character" w:customStyle="1" w:styleId="inline-flex">
    <w:name w:val="inline-flex"/>
    <w:basedOn w:val="DefaultParagraphFont"/>
    <w:rsid w:val="00352753"/>
  </w:style>
  <w:style w:type="character" w:customStyle="1" w:styleId="transition-all">
    <w:name w:val="transition-all"/>
    <w:basedOn w:val="DefaultParagraphFont"/>
    <w:rsid w:val="003527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932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2A54"/>
    <w:rPr>
      <w:b/>
      <w:bCs/>
    </w:rPr>
  </w:style>
  <w:style w:type="paragraph" w:customStyle="1" w:styleId="font-claude-response-body">
    <w:name w:val="font-claude-response-body"/>
    <w:basedOn w:val="Normal"/>
    <w:rsid w:val="00352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solute">
    <w:name w:val="absolute"/>
    <w:basedOn w:val="DefaultParagraphFont"/>
    <w:rsid w:val="00352753"/>
  </w:style>
  <w:style w:type="character" w:customStyle="1" w:styleId="inline-flex">
    <w:name w:val="inline-flex"/>
    <w:basedOn w:val="DefaultParagraphFont"/>
    <w:rsid w:val="00352753"/>
  </w:style>
  <w:style w:type="character" w:customStyle="1" w:styleId="transition-all">
    <w:name w:val="transition-all"/>
    <w:basedOn w:val="DefaultParagraphFont"/>
    <w:rsid w:val="00352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68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0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8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68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81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9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76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849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965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4709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764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35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69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363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9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dcterms:created xsi:type="dcterms:W3CDTF">2026-02-20T05:32:00Z</dcterms:created>
  <dcterms:modified xsi:type="dcterms:W3CDTF">2026-05-30T15:50:00Z</dcterms:modified>
</cp:coreProperties>
</file>