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74E9" w14:textId="77777777" w:rsidR="007B2180" w:rsidRPr="00775C2D" w:rsidRDefault="00DB10CE" w:rsidP="007B2180">
      <w:pPr>
        <w:spacing w:after="0"/>
        <w:rPr>
          <w:rFonts w:ascii="Times New Roman" w:hAnsi="Times New Roman" w:cs="Times New Roman"/>
          <w:b/>
          <w:bCs/>
        </w:rPr>
      </w:pPr>
      <w:r w:rsidRPr="00775C2D">
        <w:rPr>
          <w:rFonts w:ascii="Times New Roman" w:hAnsi="Times New Roman" w:cs="Times New Roman"/>
          <w:b/>
          <w:bCs/>
        </w:rPr>
        <w:t xml:space="preserve">Supplementary Table 2A. </w:t>
      </w:r>
    </w:p>
    <w:p w14:paraId="43E45353" w14:textId="20B079A2" w:rsidR="003B3B19" w:rsidRDefault="00775C2D" w:rsidP="007B2180">
      <w:pPr>
        <w:spacing w:after="0"/>
        <w:rPr>
          <w:rFonts w:ascii="Times New Roman" w:hAnsi="Times New Roman" w:cs="Times New Roman"/>
        </w:rPr>
      </w:pPr>
      <w:r w:rsidRPr="00775C2D">
        <w:rPr>
          <w:rFonts w:ascii="Times New Roman" w:hAnsi="Times New Roman" w:cs="Times New Roman"/>
        </w:rPr>
        <w:t>Postoperative levels, perioperative changes (Δ), and ratios of conventional inflammatory and coagulation biomarkers in aseptic and PJI revision groups.</w:t>
      </w:r>
    </w:p>
    <w:tbl>
      <w:tblPr>
        <w:tblStyle w:val="a3"/>
        <w:tblW w:w="18431" w:type="dxa"/>
        <w:tblLook w:val="04A0" w:firstRow="1" w:lastRow="0" w:firstColumn="1" w:lastColumn="0" w:noHBand="0" w:noVBand="1"/>
      </w:tblPr>
      <w:tblGrid>
        <w:gridCol w:w="2268"/>
        <w:gridCol w:w="2268"/>
        <w:gridCol w:w="1843"/>
        <w:gridCol w:w="1276"/>
        <w:gridCol w:w="1984"/>
        <w:gridCol w:w="2104"/>
        <w:gridCol w:w="873"/>
        <w:gridCol w:w="2410"/>
        <w:gridCol w:w="2126"/>
        <w:gridCol w:w="1279"/>
      </w:tblGrid>
      <w:tr w:rsidR="00DB10CE" w:rsidRPr="00DB10CE" w14:paraId="6ECE8670" w14:textId="77777777" w:rsidTr="00775C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1"/>
        </w:trPr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7E1C92BF" w14:textId="77777777" w:rsidR="00DB10CE" w:rsidRPr="00DB10CE" w:rsidRDefault="00DB10CE" w:rsidP="00DB10CE">
            <w:pPr>
              <w:widowControl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Parameter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936A1E0" w14:textId="2D41646B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No PJI post (N=207)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FECC4D9" w14:textId="40B62314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PJI post (N=172)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94894B2" w14:textId="266C97AD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 value post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607D3EAA" w14:textId="2F03806B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Δ No PJI (N=207)</w:t>
            </w:r>
            <w:r w:rsidR="001B6DAE" w:rsidRPr="00DB10CE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 xml:space="preserve"> </w:t>
            </w:r>
          </w:p>
        </w:tc>
        <w:tc>
          <w:tcPr>
            <w:tcW w:w="2104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3FD9DCF8" w14:textId="34626808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Δ PJI (N=172)</w:t>
            </w:r>
            <w:r w:rsidR="001B6DAE" w:rsidRPr="00DB10CE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 xml:space="preserve"> </w:t>
            </w:r>
          </w:p>
        </w:tc>
        <w:tc>
          <w:tcPr>
            <w:tcW w:w="873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3FEEE70" w14:textId="3E3DC89B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 value (Δ)</w:t>
            </w:r>
            <w:r w:rsidRPr="00DB10CE">
              <w:rPr>
                <w:rFonts w:eastAsia="等线" w:cs="Times New Roman"/>
                <w:color w:val="333333"/>
                <w:kern w:val="0"/>
                <w:szCs w:val="22"/>
                <w:vertAlign w:val="superscript"/>
                <w14:ligatures w14:val="none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060DF816" w14:textId="6345CA02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Ratio No PJI (N=207)</w:t>
            </w:r>
            <w:r w:rsidR="001B6DAE" w:rsidRPr="00DB10CE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60F31CB6" w14:textId="0763978E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Ratio PJI (N=172)</w:t>
            </w:r>
            <w:r w:rsidR="001B6DAE" w:rsidRPr="00DB10CE">
              <w:rPr>
                <w:rFonts w:eastAsia="等线" w:cs="Times New Roman"/>
                <w:color w:val="000000"/>
                <w:kern w:val="0"/>
                <w:szCs w:val="22"/>
                <w:vertAlign w:val="superscript"/>
                <w14:ligatures w14:val="none"/>
              </w:rPr>
              <w:t xml:space="preserve"> </w:t>
            </w:r>
          </w:p>
        </w:tc>
        <w:tc>
          <w:tcPr>
            <w:tcW w:w="1279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69A15F36" w14:textId="12B9DA7C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P value (Ratio)</w:t>
            </w:r>
            <w:r w:rsidRPr="00DB10CE">
              <w:rPr>
                <w:rFonts w:eastAsia="等线" w:cs="Times New Roman"/>
                <w:color w:val="333333"/>
                <w:kern w:val="0"/>
                <w:szCs w:val="22"/>
                <w:vertAlign w:val="superscript"/>
                <w14:ligatures w14:val="none"/>
              </w:rPr>
              <w:t xml:space="preserve"> </w:t>
            </w:r>
          </w:p>
        </w:tc>
      </w:tr>
      <w:tr w:rsidR="00DB10CE" w:rsidRPr="00DB10CE" w14:paraId="5D78DC6E" w14:textId="77777777" w:rsidTr="00775C2D">
        <w:trPr>
          <w:trHeight w:val="421"/>
        </w:trPr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14:paraId="04085F24" w14:textId="77777777" w:rsidR="00DB10CE" w:rsidRPr="00DB10CE" w:rsidRDefault="00DB10CE" w:rsidP="00DB10CE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D-dimer (mg/L FEU)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noWrap/>
            <w:hideMark/>
          </w:tcPr>
          <w:p w14:paraId="5036A3A5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1.23 (0.64, 2.06)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5B30DA4A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1.84 (1.10, 3.36)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7C33318E" w14:textId="2E3C9E4C" w:rsidR="00DB10CE" w:rsidRPr="00DB10CE" w:rsidRDefault="00472052" w:rsidP="00DB10CE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 xml:space="preserve">  </w:t>
            </w:r>
            <w:r w:rsidR="00DB10CE" w:rsidRPr="00DB10CE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0.001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hideMark/>
          </w:tcPr>
          <w:p w14:paraId="53010B46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-0.01 (-0.64, 0.66)</w:t>
            </w:r>
          </w:p>
        </w:tc>
        <w:tc>
          <w:tcPr>
            <w:tcW w:w="2104" w:type="dxa"/>
            <w:tcBorders>
              <w:top w:val="single" w:sz="4" w:space="0" w:color="auto"/>
            </w:tcBorders>
            <w:noWrap/>
            <w:hideMark/>
          </w:tcPr>
          <w:p w14:paraId="6A1A4B7A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0.34 (-0.6, 2)</w:t>
            </w:r>
          </w:p>
        </w:tc>
        <w:tc>
          <w:tcPr>
            <w:tcW w:w="873" w:type="dxa"/>
            <w:tcBorders>
              <w:top w:val="single" w:sz="4" w:space="0" w:color="auto"/>
            </w:tcBorders>
            <w:noWrap/>
            <w:hideMark/>
          </w:tcPr>
          <w:p w14:paraId="0DCE795D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0.031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  <w:hideMark/>
          </w:tcPr>
          <w:p w14:paraId="4512A9CB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 (0.48, 2.08)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hideMark/>
          </w:tcPr>
          <w:p w14:paraId="7808B5BF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1.21 (0.66, 2.56)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noWrap/>
            <w:hideMark/>
          </w:tcPr>
          <w:p w14:paraId="01315AE6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0.238</w:t>
            </w:r>
          </w:p>
        </w:tc>
      </w:tr>
      <w:tr w:rsidR="00DB10CE" w:rsidRPr="00DB10CE" w14:paraId="5A632FB5" w14:textId="77777777" w:rsidTr="00FC5C93">
        <w:trPr>
          <w:trHeight w:val="421"/>
        </w:trPr>
        <w:tc>
          <w:tcPr>
            <w:tcW w:w="2268" w:type="dxa"/>
            <w:noWrap/>
            <w:hideMark/>
          </w:tcPr>
          <w:p w14:paraId="00AD4E9E" w14:textId="711CE58B" w:rsidR="00DB10CE" w:rsidRPr="00DB10CE" w:rsidRDefault="007B2180" w:rsidP="00DB10CE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>IL</w:t>
            </w:r>
            <w:r w:rsidR="00DB10CE"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-6 (</w:t>
            </w:r>
            <w:proofErr w:type="spellStart"/>
            <w:r w:rsidR="00DB10CE"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pg</w:t>
            </w:r>
            <w:proofErr w:type="spellEnd"/>
            <w:r w:rsidR="00DB10CE"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/mL)</w:t>
            </w:r>
          </w:p>
        </w:tc>
        <w:tc>
          <w:tcPr>
            <w:tcW w:w="2268" w:type="dxa"/>
            <w:noWrap/>
            <w:hideMark/>
          </w:tcPr>
          <w:p w14:paraId="13ADBC7F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21 (9, 46)</w:t>
            </w:r>
          </w:p>
        </w:tc>
        <w:tc>
          <w:tcPr>
            <w:tcW w:w="1843" w:type="dxa"/>
            <w:noWrap/>
            <w:hideMark/>
          </w:tcPr>
          <w:p w14:paraId="0B25175A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34 (16, 79)</w:t>
            </w:r>
          </w:p>
        </w:tc>
        <w:tc>
          <w:tcPr>
            <w:tcW w:w="1276" w:type="dxa"/>
            <w:noWrap/>
            <w:hideMark/>
          </w:tcPr>
          <w:p w14:paraId="28FD940D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＜</w:t>
            </w:r>
            <w:r w:rsidRPr="00DB10CE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0.001</w:t>
            </w:r>
          </w:p>
        </w:tc>
        <w:tc>
          <w:tcPr>
            <w:tcW w:w="1984" w:type="dxa"/>
            <w:noWrap/>
            <w:hideMark/>
          </w:tcPr>
          <w:p w14:paraId="23258955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16.13 (1.05, 34.6)</w:t>
            </w:r>
          </w:p>
        </w:tc>
        <w:tc>
          <w:tcPr>
            <w:tcW w:w="2104" w:type="dxa"/>
            <w:noWrap/>
            <w:hideMark/>
          </w:tcPr>
          <w:p w14:paraId="72125276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22.68 (4.6, 66.52)</w:t>
            </w:r>
          </w:p>
        </w:tc>
        <w:tc>
          <w:tcPr>
            <w:tcW w:w="873" w:type="dxa"/>
            <w:noWrap/>
            <w:hideMark/>
          </w:tcPr>
          <w:p w14:paraId="43F2737D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0.054</w:t>
            </w:r>
          </w:p>
        </w:tc>
        <w:tc>
          <w:tcPr>
            <w:tcW w:w="2410" w:type="dxa"/>
            <w:noWrap/>
            <w:hideMark/>
          </w:tcPr>
          <w:p w14:paraId="474552F5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4.58 (1.23, 14.06)</w:t>
            </w:r>
          </w:p>
        </w:tc>
        <w:tc>
          <w:tcPr>
            <w:tcW w:w="2126" w:type="dxa"/>
            <w:noWrap/>
            <w:hideMark/>
          </w:tcPr>
          <w:p w14:paraId="498C64F5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4.71 (1.45, 14.78)</w:t>
            </w:r>
          </w:p>
        </w:tc>
        <w:tc>
          <w:tcPr>
            <w:tcW w:w="1279" w:type="dxa"/>
            <w:noWrap/>
            <w:hideMark/>
          </w:tcPr>
          <w:p w14:paraId="2A09F0AF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0.969</w:t>
            </w:r>
          </w:p>
        </w:tc>
      </w:tr>
      <w:tr w:rsidR="00DB10CE" w:rsidRPr="00DB10CE" w14:paraId="6DB18560" w14:textId="77777777" w:rsidTr="00FC5C93">
        <w:trPr>
          <w:trHeight w:val="421"/>
        </w:trPr>
        <w:tc>
          <w:tcPr>
            <w:tcW w:w="2268" w:type="dxa"/>
            <w:noWrap/>
            <w:hideMark/>
          </w:tcPr>
          <w:p w14:paraId="2A2A0D32" w14:textId="51FE38EC" w:rsidR="00DB10CE" w:rsidRPr="00DB10CE" w:rsidRDefault="00DB10CE" w:rsidP="00DB10CE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Fib (g/L)</w:t>
            </w:r>
          </w:p>
        </w:tc>
        <w:tc>
          <w:tcPr>
            <w:tcW w:w="2268" w:type="dxa"/>
            <w:noWrap/>
            <w:hideMark/>
          </w:tcPr>
          <w:p w14:paraId="2A48F3DC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2.92 (2.53, 3.68)</w:t>
            </w:r>
          </w:p>
        </w:tc>
        <w:tc>
          <w:tcPr>
            <w:tcW w:w="1843" w:type="dxa"/>
            <w:noWrap/>
            <w:hideMark/>
          </w:tcPr>
          <w:p w14:paraId="4BBFF758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4.00 (3.00, 4.97)</w:t>
            </w:r>
          </w:p>
        </w:tc>
        <w:tc>
          <w:tcPr>
            <w:tcW w:w="1276" w:type="dxa"/>
            <w:noWrap/>
            <w:hideMark/>
          </w:tcPr>
          <w:p w14:paraId="1E80BC32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＜</w:t>
            </w:r>
            <w:r w:rsidRPr="00DB10CE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0.001</w:t>
            </w:r>
          </w:p>
        </w:tc>
        <w:tc>
          <w:tcPr>
            <w:tcW w:w="1984" w:type="dxa"/>
            <w:noWrap/>
            <w:hideMark/>
          </w:tcPr>
          <w:p w14:paraId="4BC079BE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0.07 (-0.34, 0.52)</w:t>
            </w:r>
          </w:p>
        </w:tc>
        <w:tc>
          <w:tcPr>
            <w:tcW w:w="2104" w:type="dxa"/>
            <w:noWrap/>
            <w:hideMark/>
          </w:tcPr>
          <w:p w14:paraId="320B54FA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-0.21 (-0.8, 0.79)</w:t>
            </w:r>
          </w:p>
        </w:tc>
        <w:tc>
          <w:tcPr>
            <w:tcW w:w="873" w:type="dxa"/>
            <w:noWrap/>
            <w:hideMark/>
          </w:tcPr>
          <w:p w14:paraId="77C7C452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0.062</w:t>
            </w:r>
          </w:p>
        </w:tc>
        <w:tc>
          <w:tcPr>
            <w:tcW w:w="2410" w:type="dxa"/>
            <w:noWrap/>
            <w:hideMark/>
          </w:tcPr>
          <w:p w14:paraId="45C38542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1.02 (0.88, 1.21)</w:t>
            </w:r>
          </w:p>
        </w:tc>
        <w:tc>
          <w:tcPr>
            <w:tcW w:w="2126" w:type="dxa"/>
            <w:noWrap/>
            <w:hideMark/>
          </w:tcPr>
          <w:p w14:paraId="78DC1E66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0.95 (0.82, 1.21)</w:t>
            </w:r>
          </w:p>
        </w:tc>
        <w:tc>
          <w:tcPr>
            <w:tcW w:w="1279" w:type="dxa"/>
            <w:noWrap/>
            <w:hideMark/>
          </w:tcPr>
          <w:p w14:paraId="2F871EB3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0.149</w:t>
            </w:r>
          </w:p>
        </w:tc>
      </w:tr>
      <w:tr w:rsidR="00DB10CE" w:rsidRPr="00DB10CE" w14:paraId="125C3CB4" w14:textId="77777777" w:rsidTr="00FC5C93">
        <w:trPr>
          <w:trHeight w:val="421"/>
        </w:trPr>
        <w:tc>
          <w:tcPr>
            <w:tcW w:w="2268" w:type="dxa"/>
            <w:noWrap/>
            <w:hideMark/>
          </w:tcPr>
          <w:p w14:paraId="4E56B799" w14:textId="6B0C4D4B" w:rsidR="00DB10CE" w:rsidRPr="00DB10CE" w:rsidRDefault="007B2180" w:rsidP="00DB10CE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>
              <w:rPr>
                <w:rFonts w:eastAsia="等线" w:cs="Times New Roman" w:hint="eastAsia"/>
                <w:color w:val="333333"/>
                <w:kern w:val="0"/>
                <w:szCs w:val="22"/>
                <w14:ligatures w14:val="none"/>
              </w:rPr>
              <w:t>CRP</w:t>
            </w:r>
            <w:r w:rsidR="00DB10CE"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 xml:space="preserve"> (mg/L)</w:t>
            </w:r>
          </w:p>
        </w:tc>
        <w:tc>
          <w:tcPr>
            <w:tcW w:w="2268" w:type="dxa"/>
            <w:noWrap/>
            <w:hideMark/>
          </w:tcPr>
          <w:p w14:paraId="6FCE4F02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23 (10, 51)</w:t>
            </w:r>
          </w:p>
        </w:tc>
        <w:tc>
          <w:tcPr>
            <w:tcW w:w="1843" w:type="dxa"/>
            <w:noWrap/>
            <w:hideMark/>
          </w:tcPr>
          <w:p w14:paraId="58B9E52E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  <w:t>61 (29, 106)</w:t>
            </w:r>
          </w:p>
        </w:tc>
        <w:tc>
          <w:tcPr>
            <w:tcW w:w="1276" w:type="dxa"/>
            <w:noWrap/>
            <w:hideMark/>
          </w:tcPr>
          <w:p w14:paraId="6E99ED73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>＜</w:t>
            </w:r>
            <w:r w:rsidRPr="00DB10CE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0.001</w:t>
            </w:r>
          </w:p>
        </w:tc>
        <w:tc>
          <w:tcPr>
            <w:tcW w:w="1984" w:type="dxa"/>
            <w:noWrap/>
            <w:hideMark/>
          </w:tcPr>
          <w:p w14:paraId="22374985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18.52 (4.42, 45.37)</w:t>
            </w:r>
          </w:p>
        </w:tc>
        <w:tc>
          <w:tcPr>
            <w:tcW w:w="2104" w:type="dxa"/>
            <w:noWrap/>
            <w:hideMark/>
          </w:tcPr>
          <w:p w14:paraId="3E0C26CB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32.85 (7.58, 72.24)</w:t>
            </w:r>
          </w:p>
        </w:tc>
        <w:tc>
          <w:tcPr>
            <w:tcW w:w="873" w:type="dxa"/>
            <w:noWrap/>
            <w:hideMark/>
          </w:tcPr>
          <w:p w14:paraId="73390B6A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0.041</w:t>
            </w:r>
          </w:p>
        </w:tc>
        <w:tc>
          <w:tcPr>
            <w:tcW w:w="2410" w:type="dxa"/>
            <w:noWrap/>
            <w:hideMark/>
          </w:tcPr>
          <w:p w14:paraId="6E77E142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6.04 (1.98, 12.89)</w:t>
            </w:r>
          </w:p>
        </w:tc>
        <w:tc>
          <w:tcPr>
            <w:tcW w:w="2126" w:type="dxa"/>
            <w:noWrap/>
            <w:hideMark/>
          </w:tcPr>
          <w:p w14:paraId="080995A5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3.77 (1.38, 13.15)</w:t>
            </w:r>
          </w:p>
        </w:tc>
        <w:tc>
          <w:tcPr>
            <w:tcW w:w="1279" w:type="dxa"/>
            <w:noWrap/>
            <w:hideMark/>
          </w:tcPr>
          <w:p w14:paraId="72BE875F" w14:textId="77777777" w:rsidR="00DB10CE" w:rsidRPr="00DB10CE" w:rsidRDefault="00DB10CE" w:rsidP="00DB10CE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</w:pPr>
            <w:r w:rsidRPr="00DB10CE">
              <w:rPr>
                <w:rFonts w:eastAsia="等线" w:cs="Times New Roman"/>
                <w:color w:val="000000"/>
                <w:kern w:val="0"/>
                <w:szCs w:val="22"/>
                <w14:ligatures w14:val="none"/>
              </w:rPr>
              <w:t>0.117</w:t>
            </w:r>
          </w:p>
        </w:tc>
      </w:tr>
      <w:tr w:rsidR="00DB10CE" w:rsidRPr="00DB10CE" w14:paraId="235528A2" w14:textId="77777777" w:rsidTr="00775C2D">
        <w:trPr>
          <w:trHeight w:val="60"/>
        </w:trPr>
        <w:tc>
          <w:tcPr>
            <w:tcW w:w="18431" w:type="dxa"/>
            <w:gridSpan w:val="10"/>
            <w:tcBorders>
              <w:bottom w:val="single" w:sz="8" w:space="0" w:color="auto"/>
            </w:tcBorders>
            <w:hideMark/>
          </w:tcPr>
          <w:p w14:paraId="77917C29" w14:textId="3D7CC49B" w:rsidR="00DB10CE" w:rsidRPr="00DB10CE" w:rsidRDefault="00DB10CE" w:rsidP="00DB10CE">
            <w:pPr>
              <w:widowControl/>
              <w:rPr>
                <w:rFonts w:eastAsia="等线" w:cs="Times New Roman"/>
                <w:color w:val="333333"/>
                <w:kern w:val="0"/>
                <w:szCs w:val="22"/>
                <w14:ligatures w14:val="none"/>
              </w:rPr>
            </w:pPr>
          </w:p>
        </w:tc>
      </w:tr>
    </w:tbl>
    <w:p w14:paraId="1C26FBD1" w14:textId="5EBD4261" w:rsidR="00DB10CE" w:rsidRPr="00DB10CE" w:rsidRDefault="00775C2D" w:rsidP="00775C2D">
      <w:pPr>
        <w:spacing w:after="0"/>
        <w:jc w:val="both"/>
        <w:rPr>
          <w:rFonts w:ascii="Times New Roman" w:hAnsi="Times New Roman" w:cs="Times New Roman"/>
        </w:rPr>
      </w:pPr>
      <w:r w:rsidRPr="00775C2D">
        <w:rPr>
          <w:rFonts w:ascii="Times New Roman" w:hAnsi="Times New Roman" w:cs="Times New Roman"/>
          <w:b/>
          <w:bCs/>
        </w:rPr>
        <w:t xml:space="preserve">Abbreviations: </w:t>
      </w:r>
      <w:r w:rsidRPr="00775C2D">
        <w:rPr>
          <w:rFonts w:ascii="Times New Roman" w:hAnsi="Times New Roman" w:cs="Times New Roman"/>
        </w:rPr>
        <w:t>PJI, periprosthetic joint infection; IL-6, interleukin-6; CRP, C-reactive protein; Fib, fibrinogen; FEU, fibrinogen equivalent units; Δ, postoperative minus preoperative value. Continuous variables are presented as median with interquartile range (Q1, Q3). P &lt; 0.05 was considered statistically significant.</w:t>
      </w:r>
    </w:p>
    <w:sectPr w:rsidR="00DB10CE" w:rsidRPr="00DB10CE" w:rsidSect="00DB10CE">
      <w:pgSz w:w="19845" w:h="11907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80FFE" w14:textId="77777777" w:rsidR="00B47A75" w:rsidRDefault="00B47A75" w:rsidP="00DB10C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6055CDA" w14:textId="77777777" w:rsidR="00B47A75" w:rsidRDefault="00B47A75" w:rsidP="00DB10C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C5722" w14:textId="77777777" w:rsidR="00B47A75" w:rsidRDefault="00B47A75" w:rsidP="00DB10C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A43590C" w14:textId="77777777" w:rsidR="00B47A75" w:rsidRDefault="00B47A75" w:rsidP="00DB10C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D5"/>
    <w:rsid w:val="000C3192"/>
    <w:rsid w:val="000D6479"/>
    <w:rsid w:val="000E6EED"/>
    <w:rsid w:val="001B6DAE"/>
    <w:rsid w:val="003B3B19"/>
    <w:rsid w:val="00472052"/>
    <w:rsid w:val="005D01D5"/>
    <w:rsid w:val="00775C2D"/>
    <w:rsid w:val="007B2180"/>
    <w:rsid w:val="008F0680"/>
    <w:rsid w:val="00A90EE9"/>
    <w:rsid w:val="00AB5443"/>
    <w:rsid w:val="00B47A75"/>
    <w:rsid w:val="00DB10CE"/>
    <w:rsid w:val="00DE56D1"/>
    <w:rsid w:val="00E61653"/>
    <w:rsid w:val="00FC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322FB"/>
  <w15:chartTrackingRefBased/>
  <w15:docId w15:val="{9FEB1D76-AB46-4240-8B7E-7A9314DFD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D01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1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1D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1D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1D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1D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1D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1D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0C3192"/>
    <w:pPr>
      <w:spacing w:after="0" w:line="240" w:lineRule="auto"/>
    </w:pPr>
    <w:rPr>
      <w:rFonts w:ascii="Times New Roman" w:eastAsia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5D01D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D01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D01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D01D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D01D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D01D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D01D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D01D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D01D5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5D01D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5D0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5D01D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5D01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5D0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5D01D5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5D01D5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5D01D5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D0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5D01D5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5D01D5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DB10C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DB10C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DB10C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DB10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0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 丁</dc:creator>
  <cp:keywords/>
  <dc:description/>
  <cp:lastModifiedBy>洋 丁</cp:lastModifiedBy>
  <cp:revision>7</cp:revision>
  <dcterms:created xsi:type="dcterms:W3CDTF">2026-03-20T11:54:00Z</dcterms:created>
  <dcterms:modified xsi:type="dcterms:W3CDTF">2026-04-30T08:39:00Z</dcterms:modified>
</cp:coreProperties>
</file>