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EC706" w14:textId="109B8F22" w:rsidR="003F2F08" w:rsidRPr="003F2F08" w:rsidRDefault="003F2F08" w:rsidP="003F2F08">
      <w:pPr>
        <w:spacing w:after="0"/>
        <w:rPr>
          <w:rFonts w:ascii="Times New Roman" w:hAnsi="Times New Roman" w:cs="Times New Roman" w:hint="eastAsia"/>
          <w:b/>
          <w:bCs/>
        </w:rPr>
      </w:pPr>
      <w:r w:rsidRPr="003F2F08">
        <w:rPr>
          <w:rFonts w:ascii="Times New Roman" w:hAnsi="Times New Roman" w:cs="Times New Roman"/>
          <w:b/>
          <w:bCs/>
        </w:rPr>
        <w:t>Supplementary Table 4</w:t>
      </w:r>
      <w:r w:rsidRPr="003F2F08">
        <w:rPr>
          <w:rFonts w:ascii="Times New Roman" w:hAnsi="Times New Roman" w:cs="Times New Roman" w:hint="eastAsia"/>
          <w:b/>
          <w:bCs/>
        </w:rPr>
        <w:t>.</w:t>
      </w:r>
    </w:p>
    <w:p w14:paraId="7D54436B" w14:textId="159615BD" w:rsidR="003B3B19" w:rsidRPr="003F2F08" w:rsidRDefault="003F2F08" w:rsidP="003F2F08">
      <w:pPr>
        <w:spacing w:after="0"/>
        <w:rPr>
          <w:rFonts w:ascii="Times New Roman" w:hAnsi="Times New Roman" w:cs="Times New Roman"/>
        </w:rPr>
      </w:pPr>
      <w:r w:rsidRPr="003F2F08">
        <w:rPr>
          <w:rFonts w:ascii="Times New Roman" w:hAnsi="Times New Roman" w:cs="Times New Roman"/>
        </w:rPr>
        <w:t>Univariable and multivariable logistic regression analyses of biomarkers associated with PJI.</w:t>
      </w:r>
    </w:p>
    <w:tbl>
      <w:tblPr>
        <w:tblStyle w:val="af"/>
        <w:tblpPr w:leftFromText="180" w:rightFromText="180" w:vertAnchor="page" w:horzAnchor="margin" w:tblpY="1500"/>
        <w:tblW w:w="15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559"/>
        <w:gridCol w:w="1843"/>
        <w:gridCol w:w="2268"/>
        <w:gridCol w:w="1763"/>
        <w:gridCol w:w="1922"/>
        <w:gridCol w:w="2272"/>
        <w:gridCol w:w="1659"/>
      </w:tblGrid>
      <w:tr w:rsidR="003F2F08" w:rsidRPr="00E207E5" w14:paraId="2806096B" w14:textId="77777777" w:rsidTr="003F2F08">
        <w:trPr>
          <w:trHeight w:val="308"/>
        </w:trPr>
        <w:tc>
          <w:tcPr>
            <w:tcW w:w="2122" w:type="dxa"/>
            <w:tcBorders>
              <w:top w:val="single" w:sz="12" w:space="0" w:color="auto"/>
            </w:tcBorders>
            <w:noWrap/>
            <w:hideMark/>
          </w:tcPr>
          <w:p w14:paraId="73D1B9C9" w14:textId="77777777" w:rsidR="003F2F08" w:rsidRPr="00E207E5" w:rsidRDefault="003F2F08" w:rsidP="003F2F08">
            <w:pPr>
              <w:widowControl/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noWrap/>
            <w:hideMark/>
          </w:tcPr>
          <w:p w14:paraId="4FD1474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4" w:type="dxa"/>
            <w:gridSpan w:val="3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2AA796E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Univariate regression</w:t>
            </w:r>
          </w:p>
        </w:tc>
        <w:tc>
          <w:tcPr>
            <w:tcW w:w="5853" w:type="dxa"/>
            <w:gridSpan w:val="3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7A54F34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Multivariable regression</w:t>
            </w:r>
          </w:p>
        </w:tc>
      </w:tr>
      <w:tr w:rsidR="003F2F08" w:rsidRPr="00E207E5" w14:paraId="55FDFA34" w14:textId="77777777" w:rsidTr="003F2F08">
        <w:trPr>
          <w:trHeight w:val="308"/>
        </w:trPr>
        <w:tc>
          <w:tcPr>
            <w:tcW w:w="2122" w:type="dxa"/>
            <w:tcBorders>
              <w:bottom w:val="single" w:sz="8" w:space="0" w:color="auto"/>
            </w:tcBorders>
            <w:noWrap/>
            <w:hideMark/>
          </w:tcPr>
          <w:p w14:paraId="0AA415E1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Parameter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noWrap/>
            <w:hideMark/>
          </w:tcPr>
          <w:p w14:paraId="53E8219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Cut off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B5CA6CC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OR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C77A1E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95%CI</w:t>
            </w:r>
          </w:p>
        </w:tc>
        <w:tc>
          <w:tcPr>
            <w:tcW w:w="176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48ABA7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  <w:tc>
          <w:tcPr>
            <w:tcW w:w="192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9202CD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aOR</w:t>
            </w:r>
            <w:proofErr w:type="spellEnd"/>
          </w:p>
        </w:tc>
        <w:tc>
          <w:tcPr>
            <w:tcW w:w="227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265042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95%CI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085C3F8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</w:tr>
      <w:tr w:rsidR="003F2F08" w:rsidRPr="00E207E5" w14:paraId="336EA0F8" w14:textId="77777777" w:rsidTr="003F2F08">
        <w:trPr>
          <w:trHeight w:val="308"/>
        </w:trPr>
        <w:tc>
          <w:tcPr>
            <w:tcW w:w="2122" w:type="dxa"/>
            <w:tcBorders>
              <w:top w:val="single" w:sz="8" w:space="0" w:color="auto"/>
            </w:tcBorders>
            <w:noWrap/>
            <w:hideMark/>
          </w:tcPr>
          <w:p w14:paraId="0B7486C5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D-dimer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noWrap/>
            <w:hideMark/>
          </w:tcPr>
          <w:p w14:paraId="1062D9EF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0.975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noWrap/>
            <w:hideMark/>
          </w:tcPr>
          <w:p w14:paraId="3B4F594D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1.806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hideMark/>
          </w:tcPr>
          <w:p w14:paraId="6E21B0A4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1.178–2.781</w:t>
            </w:r>
          </w:p>
        </w:tc>
        <w:tc>
          <w:tcPr>
            <w:tcW w:w="1763" w:type="dxa"/>
            <w:tcBorders>
              <w:top w:val="single" w:sz="8" w:space="0" w:color="auto"/>
            </w:tcBorders>
            <w:noWrap/>
            <w:hideMark/>
          </w:tcPr>
          <w:p w14:paraId="1D82835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0.007</w:t>
            </w:r>
          </w:p>
        </w:tc>
        <w:tc>
          <w:tcPr>
            <w:tcW w:w="1922" w:type="dxa"/>
            <w:tcBorders>
              <w:top w:val="single" w:sz="8" w:space="0" w:color="auto"/>
            </w:tcBorders>
            <w:noWrap/>
            <w:hideMark/>
          </w:tcPr>
          <w:p w14:paraId="32F5222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tcBorders>
              <w:top w:val="single" w:sz="8" w:space="0" w:color="auto"/>
            </w:tcBorders>
            <w:noWrap/>
            <w:hideMark/>
          </w:tcPr>
          <w:p w14:paraId="012D117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tcBorders>
              <w:top w:val="single" w:sz="8" w:space="0" w:color="auto"/>
            </w:tcBorders>
            <w:noWrap/>
            <w:hideMark/>
          </w:tcPr>
          <w:p w14:paraId="3902972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0B9F70A9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3622268E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Interleukin-6</w:t>
            </w:r>
          </w:p>
        </w:tc>
        <w:tc>
          <w:tcPr>
            <w:tcW w:w="1559" w:type="dxa"/>
            <w:noWrap/>
            <w:hideMark/>
          </w:tcPr>
          <w:p w14:paraId="572DF4F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 4.570</w:t>
            </w:r>
          </w:p>
        </w:tc>
        <w:tc>
          <w:tcPr>
            <w:tcW w:w="1843" w:type="dxa"/>
            <w:noWrap/>
            <w:hideMark/>
          </w:tcPr>
          <w:p w14:paraId="191BB0B4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4.088</w:t>
            </w:r>
          </w:p>
        </w:tc>
        <w:tc>
          <w:tcPr>
            <w:tcW w:w="2268" w:type="dxa"/>
            <w:noWrap/>
            <w:hideMark/>
          </w:tcPr>
          <w:p w14:paraId="56569E5D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2.532–6.727</w:t>
            </w:r>
          </w:p>
        </w:tc>
        <w:tc>
          <w:tcPr>
            <w:tcW w:w="1763" w:type="dxa"/>
            <w:noWrap/>
            <w:hideMark/>
          </w:tcPr>
          <w:p w14:paraId="54063FBC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0EC7E2FF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255BFFF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5578855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70638A17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7EB1BD03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CRP</w:t>
            </w:r>
          </w:p>
        </w:tc>
        <w:tc>
          <w:tcPr>
            <w:tcW w:w="1559" w:type="dxa"/>
            <w:noWrap/>
            <w:hideMark/>
          </w:tcPr>
          <w:p w14:paraId="03AD101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 6.840</w:t>
            </w:r>
          </w:p>
        </w:tc>
        <w:tc>
          <w:tcPr>
            <w:tcW w:w="1843" w:type="dxa"/>
            <w:noWrap/>
            <w:hideMark/>
          </w:tcPr>
          <w:p w14:paraId="214EB00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7.942</w:t>
            </w:r>
          </w:p>
        </w:tc>
        <w:tc>
          <w:tcPr>
            <w:tcW w:w="2268" w:type="dxa"/>
            <w:noWrap/>
            <w:hideMark/>
          </w:tcPr>
          <w:p w14:paraId="62C2B69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4.664–14.075</w:t>
            </w:r>
          </w:p>
        </w:tc>
        <w:tc>
          <w:tcPr>
            <w:tcW w:w="1763" w:type="dxa"/>
            <w:noWrap/>
            <w:hideMark/>
          </w:tcPr>
          <w:p w14:paraId="62E3500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458173C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6.205</w:t>
            </w:r>
          </w:p>
        </w:tc>
        <w:tc>
          <w:tcPr>
            <w:tcW w:w="2272" w:type="dxa"/>
            <w:noWrap/>
            <w:hideMark/>
          </w:tcPr>
          <w:p w14:paraId="1243A0B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3.499-11.556</w:t>
            </w:r>
          </w:p>
        </w:tc>
        <w:tc>
          <w:tcPr>
            <w:tcW w:w="1659" w:type="dxa"/>
            <w:noWrap/>
            <w:hideMark/>
          </w:tcPr>
          <w:p w14:paraId="4778626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3F2F08" w:rsidRPr="00E207E5" w14:paraId="03B7680F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35B5868C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Fibrinogen</w:t>
            </w:r>
          </w:p>
        </w:tc>
        <w:tc>
          <w:tcPr>
            <w:tcW w:w="1559" w:type="dxa"/>
            <w:noWrap/>
            <w:hideMark/>
          </w:tcPr>
          <w:p w14:paraId="0FF77BCF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3.505</w:t>
            </w:r>
          </w:p>
        </w:tc>
        <w:tc>
          <w:tcPr>
            <w:tcW w:w="1843" w:type="dxa"/>
            <w:noWrap/>
            <w:hideMark/>
          </w:tcPr>
          <w:p w14:paraId="24556A99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4.621</w:t>
            </w:r>
          </w:p>
        </w:tc>
        <w:tc>
          <w:tcPr>
            <w:tcW w:w="2268" w:type="dxa"/>
            <w:noWrap/>
            <w:hideMark/>
          </w:tcPr>
          <w:p w14:paraId="7BE74479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2.726–8.082</w:t>
            </w:r>
          </w:p>
        </w:tc>
        <w:tc>
          <w:tcPr>
            <w:tcW w:w="1763" w:type="dxa"/>
            <w:noWrap/>
            <w:hideMark/>
          </w:tcPr>
          <w:p w14:paraId="723ACE7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550EA1E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2D655D6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24BD0D6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361BD0F1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2E1FB9CD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Platelet</w:t>
            </w:r>
          </w:p>
        </w:tc>
        <w:tc>
          <w:tcPr>
            <w:tcW w:w="1559" w:type="dxa"/>
            <w:noWrap/>
            <w:hideMark/>
          </w:tcPr>
          <w:p w14:paraId="1227C9B6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208500</w:t>
            </w:r>
          </w:p>
        </w:tc>
        <w:tc>
          <w:tcPr>
            <w:tcW w:w="1843" w:type="dxa"/>
            <w:noWrap/>
            <w:hideMark/>
          </w:tcPr>
          <w:p w14:paraId="1B721599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2.398</w:t>
            </w:r>
          </w:p>
        </w:tc>
        <w:tc>
          <w:tcPr>
            <w:tcW w:w="2268" w:type="dxa"/>
            <w:noWrap/>
            <w:hideMark/>
          </w:tcPr>
          <w:p w14:paraId="02B3573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1.581–3.659</w:t>
            </w:r>
          </w:p>
        </w:tc>
        <w:tc>
          <w:tcPr>
            <w:tcW w:w="1763" w:type="dxa"/>
            <w:noWrap/>
            <w:hideMark/>
          </w:tcPr>
          <w:p w14:paraId="3524A6A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5A1A22D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37B6AE14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7640FC4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551C0213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642B8597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Neutrophils</w:t>
            </w:r>
          </w:p>
        </w:tc>
        <w:tc>
          <w:tcPr>
            <w:tcW w:w="1559" w:type="dxa"/>
            <w:noWrap/>
            <w:hideMark/>
          </w:tcPr>
          <w:p w14:paraId="74B0DC1A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3945</w:t>
            </w:r>
          </w:p>
        </w:tc>
        <w:tc>
          <w:tcPr>
            <w:tcW w:w="1843" w:type="dxa"/>
            <w:noWrap/>
            <w:hideMark/>
          </w:tcPr>
          <w:p w14:paraId="3FF8C104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3.404</w:t>
            </w:r>
          </w:p>
        </w:tc>
        <w:tc>
          <w:tcPr>
            <w:tcW w:w="2268" w:type="dxa"/>
            <w:noWrap/>
            <w:hideMark/>
          </w:tcPr>
          <w:p w14:paraId="45117BC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2.199–5.326</w:t>
            </w:r>
          </w:p>
        </w:tc>
        <w:tc>
          <w:tcPr>
            <w:tcW w:w="1763" w:type="dxa"/>
            <w:noWrap/>
            <w:hideMark/>
          </w:tcPr>
          <w:p w14:paraId="4AC5C25A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1FBDE0B9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5262CD8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3372C5D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195BBF9A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2E886540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Monocytes</w:t>
            </w:r>
          </w:p>
        </w:tc>
        <w:tc>
          <w:tcPr>
            <w:tcW w:w="1559" w:type="dxa"/>
            <w:noWrap/>
            <w:hideMark/>
          </w:tcPr>
          <w:p w14:paraId="41A113A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565</w:t>
            </w:r>
          </w:p>
        </w:tc>
        <w:tc>
          <w:tcPr>
            <w:tcW w:w="1843" w:type="dxa"/>
            <w:noWrap/>
            <w:hideMark/>
          </w:tcPr>
          <w:p w14:paraId="5B7AD6FC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3.273</w:t>
            </w:r>
          </w:p>
        </w:tc>
        <w:tc>
          <w:tcPr>
            <w:tcW w:w="2268" w:type="dxa"/>
            <w:noWrap/>
            <w:hideMark/>
          </w:tcPr>
          <w:p w14:paraId="1296770A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1.961–5.581</w:t>
            </w:r>
          </w:p>
        </w:tc>
        <w:tc>
          <w:tcPr>
            <w:tcW w:w="1763" w:type="dxa"/>
            <w:noWrap/>
            <w:hideMark/>
          </w:tcPr>
          <w:p w14:paraId="316166E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00B6064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621AF75A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3F902EAF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45AABE5F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6FD22A1E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Total lymphocytes</w:t>
            </w:r>
          </w:p>
        </w:tc>
        <w:tc>
          <w:tcPr>
            <w:tcW w:w="1559" w:type="dxa"/>
            <w:noWrap/>
            <w:hideMark/>
          </w:tcPr>
          <w:p w14:paraId="6CA6C36C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&lt; 1355</w:t>
            </w:r>
          </w:p>
        </w:tc>
        <w:tc>
          <w:tcPr>
            <w:tcW w:w="1843" w:type="dxa"/>
            <w:noWrap/>
            <w:hideMark/>
          </w:tcPr>
          <w:p w14:paraId="54A3F04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1.691</w:t>
            </w:r>
          </w:p>
        </w:tc>
        <w:tc>
          <w:tcPr>
            <w:tcW w:w="2268" w:type="dxa"/>
            <w:noWrap/>
            <w:hideMark/>
          </w:tcPr>
          <w:p w14:paraId="3044EEB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1.113–2.578</w:t>
            </w:r>
          </w:p>
        </w:tc>
        <w:tc>
          <w:tcPr>
            <w:tcW w:w="1763" w:type="dxa"/>
            <w:noWrap/>
            <w:hideMark/>
          </w:tcPr>
          <w:p w14:paraId="5F86BB0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0.014</w:t>
            </w:r>
          </w:p>
        </w:tc>
        <w:tc>
          <w:tcPr>
            <w:tcW w:w="1922" w:type="dxa"/>
            <w:noWrap/>
            <w:hideMark/>
          </w:tcPr>
          <w:p w14:paraId="4EC289A9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1827EB1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4E73A5C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23958032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42561382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NLR</w:t>
            </w:r>
          </w:p>
        </w:tc>
        <w:tc>
          <w:tcPr>
            <w:tcW w:w="1559" w:type="dxa"/>
            <w:noWrap/>
            <w:hideMark/>
          </w:tcPr>
          <w:p w14:paraId="7B3749A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2.691</w:t>
            </w:r>
          </w:p>
        </w:tc>
        <w:tc>
          <w:tcPr>
            <w:tcW w:w="1843" w:type="dxa"/>
            <w:noWrap/>
            <w:hideMark/>
          </w:tcPr>
          <w:p w14:paraId="1310727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3.221</w:t>
            </w:r>
          </w:p>
        </w:tc>
        <w:tc>
          <w:tcPr>
            <w:tcW w:w="2268" w:type="dxa"/>
            <w:noWrap/>
            <w:hideMark/>
          </w:tcPr>
          <w:p w14:paraId="7903218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2.068–5.073</w:t>
            </w:r>
          </w:p>
        </w:tc>
        <w:tc>
          <w:tcPr>
            <w:tcW w:w="1763" w:type="dxa"/>
            <w:noWrap/>
            <w:hideMark/>
          </w:tcPr>
          <w:p w14:paraId="0829448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3235DF6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57C86AC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3EB43D0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7E78A704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3963CB6A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MLR</w:t>
            </w:r>
          </w:p>
        </w:tc>
        <w:tc>
          <w:tcPr>
            <w:tcW w:w="1559" w:type="dxa"/>
            <w:noWrap/>
            <w:hideMark/>
          </w:tcPr>
          <w:p w14:paraId="447F85C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0.258</w:t>
            </w:r>
          </w:p>
        </w:tc>
        <w:tc>
          <w:tcPr>
            <w:tcW w:w="1843" w:type="dxa"/>
            <w:noWrap/>
            <w:hideMark/>
          </w:tcPr>
          <w:p w14:paraId="6B3B6506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2.271</w:t>
            </w:r>
          </w:p>
        </w:tc>
        <w:tc>
          <w:tcPr>
            <w:tcW w:w="2268" w:type="dxa"/>
            <w:noWrap/>
            <w:hideMark/>
          </w:tcPr>
          <w:p w14:paraId="609F998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1.505–3.446</w:t>
            </w:r>
          </w:p>
        </w:tc>
        <w:tc>
          <w:tcPr>
            <w:tcW w:w="1763" w:type="dxa"/>
            <w:noWrap/>
            <w:hideMark/>
          </w:tcPr>
          <w:p w14:paraId="65D2B88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5FFDC1A6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24FAD66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45FFB96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0E87C788" w14:textId="77777777" w:rsidTr="003F2F08">
        <w:trPr>
          <w:trHeight w:val="308"/>
        </w:trPr>
        <w:tc>
          <w:tcPr>
            <w:tcW w:w="2122" w:type="dxa"/>
            <w:noWrap/>
            <w:hideMark/>
          </w:tcPr>
          <w:p w14:paraId="75AC354B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PLR</w:t>
            </w:r>
          </w:p>
        </w:tc>
        <w:tc>
          <w:tcPr>
            <w:tcW w:w="1559" w:type="dxa"/>
            <w:noWrap/>
            <w:hideMark/>
          </w:tcPr>
          <w:p w14:paraId="6A856D5D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158.583</w:t>
            </w:r>
          </w:p>
        </w:tc>
        <w:tc>
          <w:tcPr>
            <w:tcW w:w="1843" w:type="dxa"/>
            <w:noWrap/>
            <w:hideMark/>
          </w:tcPr>
          <w:p w14:paraId="1BC17103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2.938</w:t>
            </w:r>
          </w:p>
        </w:tc>
        <w:tc>
          <w:tcPr>
            <w:tcW w:w="2268" w:type="dxa"/>
            <w:noWrap/>
            <w:hideMark/>
          </w:tcPr>
          <w:p w14:paraId="67194CF7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1.902–4.578</w:t>
            </w:r>
          </w:p>
        </w:tc>
        <w:tc>
          <w:tcPr>
            <w:tcW w:w="1763" w:type="dxa"/>
            <w:noWrap/>
            <w:hideMark/>
          </w:tcPr>
          <w:p w14:paraId="50AA8781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noWrap/>
            <w:hideMark/>
          </w:tcPr>
          <w:p w14:paraId="391D4FA8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2272" w:type="dxa"/>
            <w:noWrap/>
            <w:hideMark/>
          </w:tcPr>
          <w:p w14:paraId="3485BA2C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  <w:tc>
          <w:tcPr>
            <w:tcW w:w="1659" w:type="dxa"/>
            <w:noWrap/>
            <w:hideMark/>
          </w:tcPr>
          <w:p w14:paraId="0943F12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N/A</w:t>
            </w:r>
          </w:p>
        </w:tc>
      </w:tr>
      <w:tr w:rsidR="003F2F08" w:rsidRPr="00E207E5" w14:paraId="434D18AA" w14:textId="77777777" w:rsidTr="003F2F08">
        <w:trPr>
          <w:trHeight w:val="308"/>
        </w:trPr>
        <w:tc>
          <w:tcPr>
            <w:tcW w:w="2122" w:type="dxa"/>
            <w:tcBorders>
              <w:bottom w:val="single" w:sz="12" w:space="0" w:color="auto"/>
            </w:tcBorders>
            <w:noWrap/>
            <w:hideMark/>
          </w:tcPr>
          <w:p w14:paraId="09FE55C5" w14:textId="77777777" w:rsidR="003F2F08" w:rsidRPr="00E207E5" w:rsidRDefault="003F2F08" w:rsidP="003F2F0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SII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noWrap/>
            <w:hideMark/>
          </w:tcPr>
          <w:p w14:paraId="7D2D243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&gt; 768.125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noWrap/>
            <w:hideMark/>
          </w:tcPr>
          <w:p w14:paraId="47D3D814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12.526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noWrap/>
            <w:hideMark/>
          </w:tcPr>
          <w:p w14:paraId="25155FCB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6.599–25.962</w:t>
            </w:r>
          </w:p>
        </w:tc>
        <w:tc>
          <w:tcPr>
            <w:tcW w:w="1763" w:type="dxa"/>
            <w:tcBorders>
              <w:bottom w:val="single" w:sz="12" w:space="0" w:color="auto"/>
            </w:tcBorders>
            <w:noWrap/>
            <w:hideMark/>
          </w:tcPr>
          <w:p w14:paraId="4008B122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  <w:tc>
          <w:tcPr>
            <w:tcW w:w="1922" w:type="dxa"/>
            <w:tcBorders>
              <w:bottom w:val="single" w:sz="12" w:space="0" w:color="auto"/>
            </w:tcBorders>
            <w:noWrap/>
            <w:hideMark/>
          </w:tcPr>
          <w:p w14:paraId="28803CA5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9.751</w:t>
            </w:r>
          </w:p>
        </w:tc>
        <w:tc>
          <w:tcPr>
            <w:tcW w:w="2272" w:type="dxa"/>
            <w:tcBorders>
              <w:bottom w:val="single" w:sz="12" w:space="0" w:color="auto"/>
            </w:tcBorders>
            <w:noWrap/>
            <w:hideMark/>
          </w:tcPr>
          <w:p w14:paraId="5AA350DE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4.905-20.988</w:t>
            </w:r>
          </w:p>
        </w:tc>
        <w:tc>
          <w:tcPr>
            <w:tcW w:w="1659" w:type="dxa"/>
            <w:tcBorders>
              <w:bottom w:val="single" w:sz="12" w:space="0" w:color="auto"/>
            </w:tcBorders>
            <w:noWrap/>
            <w:hideMark/>
          </w:tcPr>
          <w:p w14:paraId="46624710" w14:textId="77777777" w:rsidR="003F2F08" w:rsidRPr="00E207E5" w:rsidRDefault="003F2F08" w:rsidP="003F2F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207E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</w:tbl>
    <w:p w14:paraId="0001F2C2" w14:textId="3ACEB370" w:rsidR="003F2F08" w:rsidRPr="003F2F08" w:rsidRDefault="003F2F08" w:rsidP="003F2F08">
      <w:pPr>
        <w:spacing w:after="0"/>
        <w:jc w:val="both"/>
        <w:rPr>
          <w:rFonts w:ascii="Times New Roman" w:hAnsi="Times New Roman" w:cs="Times New Roman"/>
        </w:rPr>
      </w:pPr>
      <w:r w:rsidRPr="003F2F08">
        <w:rPr>
          <w:rFonts w:ascii="Times New Roman" w:hAnsi="Times New Roman" w:cs="Times New Roman"/>
          <w:b/>
          <w:bCs/>
        </w:rPr>
        <w:t xml:space="preserve">Abbreviations: </w:t>
      </w:r>
      <w:r w:rsidRPr="003F2F08">
        <w:rPr>
          <w:rFonts w:ascii="Times New Roman" w:hAnsi="Times New Roman" w:cs="Times New Roman"/>
        </w:rPr>
        <w:t xml:space="preserve">PJI, periprosthetic joint infection; OR, odds ratio; </w:t>
      </w:r>
      <w:proofErr w:type="spellStart"/>
      <w:r w:rsidRPr="003F2F08">
        <w:rPr>
          <w:rFonts w:ascii="Times New Roman" w:hAnsi="Times New Roman" w:cs="Times New Roman"/>
        </w:rPr>
        <w:t>aOR</w:t>
      </w:r>
      <w:proofErr w:type="spellEnd"/>
      <w:r w:rsidRPr="003F2F08">
        <w:rPr>
          <w:rFonts w:ascii="Times New Roman" w:hAnsi="Times New Roman" w:cs="Times New Roman"/>
        </w:rPr>
        <w:t>, adjusted odds ratio; CI, confidence interval; CRP, C-reactive protein; NLR, neutrophil-to-lymphocyte ratio; MLR, monocyte-to-lymphocyte ratio; PLR, platelet-to-lymphocyte ratio; SII, systemic immune-inflammation index; N/A, not applicable. Cutoff values were determined using the Youden’s index. Variables retained in the final multivariable model are presented with adjusted ORs. The multivariable model was adjusted for sex. P &lt; 0.05 was considered statistically significant.</w:t>
      </w:r>
    </w:p>
    <w:sectPr w:rsidR="003F2F08" w:rsidRPr="003F2F08" w:rsidSect="00E207E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50BF" w14:textId="77777777" w:rsidR="007A679E" w:rsidRDefault="007A679E" w:rsidP="003F2F0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6A3D3A" w14:textId="77777777" w:rsidR="007A679E" w:rsidRDefault="007A679E" w:rsidP="003F2F0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9F9ED" w14:textId="77777777" w:rsidR="007A679E" w:rsidRDefault="007A679E" w:rsidP="003F2F0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729BC4" w14:textId="77777777" w:rsidR="007A679E" w:rsidRDefault="007A679E" w:rsidP="003F2F0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26"/>
    <w:rsid w:val="000C3192"/>
    <w:rsid w:val="003B3B19"/>
    <w:rsid w:val="003F2F08"/>
    <w:rsid w:val="007A679E"/>
    <w:rsid w:val="00A90EE9"/>
    <w:rsid w:val="00AA5A26"/>
    <w:rsid w:val="00AB5443"/>
    <w:rsid w:val="00C80A34"/>
    <w:rsid w:val="00CB60A7"/>
    <w:rsid w:val="00E2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99B7E"/>
  <w15:chartTrackingRefBased/>
  <w15:docId w15:val="{EB9A1E8A-8A54-46F4-A5F0-C67B98A0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A5A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A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A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A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A2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A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A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A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A5A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A5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A5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A5A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A5A2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A5A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A5A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A5A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A5A2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AA5A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AA5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A5A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AA5A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AA5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AA5A2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A5A2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AA5A2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A5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AA5A2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AA5A26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E2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F2F0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3F2F08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3F2F0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3F2F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3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3</cp:revision>
  <dcterms:created xsi:type="dcterms:W3CDTF">2026-04-13T13:41:00Z</dcterms:created>
  <dcterms:modified xsi:type="dcterms:W3CDTF">2026-06-01T08:12:00Z</dcterms:modified>
</cp:coreProperties>
</file>