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Supplementary Material</w:t>
      </w:r>
    </w:p>
    <w:p>
      <w:r>
        <w:t>Manuscript: Age- and Sex-Specific Patterns, Seasonality and Temporal Trends of Acute Pediatric Fracture Admissions in China: A Pooled Multicenter Hospital-Based Cohort of 6,206 Children.</w:t>
      </w:r>
    </w:p>
    <w:p>
      <w:r>
        <w:rPr>
          <w:b/>
          <w:sz w:val="26"/>
        </w:rPr>
        <w:t>Supplementary Methods 1. Negation / uncertainty term list</w:t>
      </w:r>
    </w:p>
    <w:p>
      <w:r>
        <w:t>A flagged record was counted as a confirmed acute fracture only if at least one mention of “骨折” (fracture) remained after removing all of the following negation/uncertainty expressions.</w:t>
      </w:r>
    </w:p>
    <w:p>
      <w:r>
        <w:rPr>
          <w:b/>
          <w:sz w:val="20"/>
        </w:rPr>
        <w:t>Supplementary Table M1. Negation/uncertainty terms.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left w:val="none"/>
          <w:right w:val="none"/>
          <w:insideV w:val="none"/>
          <w:insideH w:val="none"/>
        </w:tblBorders>
      </w:tblPr>
      <w:tblGrid>
        <w:gridCol w:w="4320"/>
        <w:gridCol w:w="4320"/>
      </w:tblGrid>
      <w:tr>
        <w:tc>
          <w:tcPr>
            <w:tcW w:type="dxa" w:w="432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Chinese term</w:t>
            </w:r>
          </w:p>
        </w:tc>
        <w:tc>
          <w:tcPr>
            <w:tcW w:type="dxa" w:w="432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English gloss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未见骨折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no fracture seen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未见明显骨折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no obvious fracture seen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排除骨折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fracture excluded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骨折待排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fracture to be ruled out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骨折待查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fracture to be investigated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骨折？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fracture? (full-width)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骨折?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fracture? (half-width)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无骨折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no fracture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除外骨折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fracture excluded</w:t>
            </w:r>
          </w:p>
        </w:tc>
      </w:tr>
    </w:tbl>
    <w:p/>
    <w:p>
      <w:r>
        <w:rPr>
          <w:b/>
          <w:sz w:val="26"/>
        </w:rPr>
        <w:t>Supplementary Methods 2. Site-parsing lexicon and supracondylar rule</w:t>
      </w:r>
    </w:p>
    <w:p>
      <w:r>
        <w:t>Fracture site(s) were parsed from the concatenated admission and discharge diagnosis text by substring matching against the lexicon below; a child could match several sites, and sites were grouped into four regions. Supracondylar humeral fracture was flagged when the diagnosis text contained the substring “髁上” (supracondylar) and a humeral term (肱骨); records in which “髁上” referred to the femur (股骨髁上骨折, n = 9 children) were not counted as supracondylar humeral fractures. Pathological fractures were flagged by 病理性骨折, 病理骨折, 骨肉瘤, 尤文, 骨囊肿, 骨巨细胞, 转移, 成骨不全; old/healed fractures by 陈旧性骨折, 陈旧骨折, 陈旧性. Records whose diagnosis text contained “骨折” but no lexicon term (e.g., “多发骨折” without a named site) were retained in the cohort with no region assigned (n = 211 children, 3.4%).</w:t>
      </w:r>
    </w:p>
    <w:p>
      <w:r>
        <w:rPr>
          <w:b/>
          <w:sz w:val="20"/>
        </w:rPr>
        <w:t>Supplementary Table M2. Site-parsing keyword lexicon.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left w:val="none"/>
          <w:right w:val="none"/>
          <w:insideV w:val="none"/>
          <w:insideH w:val="none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Region</w:t>
            </w:r>
          </w:p>
        </w:tc>
        <w:tc>
          <w:tcPr>
            <w:tcW w:type="dxa" w:w="28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Site</w:t>
            </w:r>
          </w:p>
        </w:tc>
        <w:tc>
          <w:tcPr>
            <w:tcW w:type="dxa" w:w="28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Keywords (matched substrings)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Clavicle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锁骨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Scapula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肩胛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Humerus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肱骨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Forearm (radius/ulna)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尺骨, 桡骨, 前臂, 孟氏, 盖氏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Carpal (scaphoid/lunate)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腕舟, 舟骨骨折, 月骨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Hand (metacarpal/phalanx)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掌骨, 指骨, 手部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Lower limb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Femur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股骨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Lower limb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Patella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髌骨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Lower limb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Tibia/fibula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胫骨, 腓骨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Lower limb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Ankle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踝, 内踝, 外踝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Lower limb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Foot (metatarsal/phalanx/calcaneus/talus)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跖骨, 趾骨, 跟骨, 距骨, 骰骨, 足舟, 足部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Axial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Spine/vertebra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椎体, 脊柱, 椎弓, 棘突, 横突, 寰椎, 枢椎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Axial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Pelvis/hip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骨盆, 髋臼, 耻骨, 坐骨, 髂骨, 骶, 尾骨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Axial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Rib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肋骨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Axial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Sternum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胸骨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Craniofacial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Skull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颅骨, 颅底, 枕骨, 额骨, 顶骨, 颞骨, 蝶骨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Craniofacial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Nasal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鼻骨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Craniofacial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Maxillofacial (maxilla/mandible/orbit/zygoma)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下颌, 上颌, 颌骨, 眼眶, 眶, 颧, 牙槽</w:t>
            </w:r>
          </w:p>
        </w:tc>
      </w:tr>
    </w:tbl>
    <w:p/>
    <w:p>
      <w:r>
        <w:rPr>
          <w:b/>
          <w:sz w:val="26"/>
        </w:rPr>
        <w:t>Supplementary Methods 3. Validation sampling protocol</w:t>
      </w:r>
    </w:p>
    <w:p>
      <w:r>
        <w:t>Positive predictive value (original submission). A random sample of 200 flagged records was re-classified into acute traumatic, pathological, old/healed or uncertain/suspected; 177/200 (88.5%; Wilson 95% CI 83.3–92.2%) were acute traumatic fractures.</w:t>
      </w:r>
    </w:p>
    <w:p>
      <w:r>
        <w:t>Additional validation (this revision). From the 251,385 pediatric admissions, three review sets were drawn with a fixed random seed: (A) 200 random flagged (acute) records, in which fracture identification and the parsed anatomical site(s) and supracondylar flag were reviewed separately; (B) 200 random non-flagged records; and (C) 300 non-flagged records enriched for fracture-related terms — negated or uncertain fracture mentions (n = 20 in the whole dataset) and fracture-synonym terms (epiphyseal separation/injury, bone crack, avulsion, greenstick, cortical, collapse, bone contusion, dislocation, displacement, comminution; n = 601 in the whole dataset; enriched pool n = 621). Reviewers recorded, for each record, whether a fracture was present, its type (acute traumatic / pathological / old-healed / none), the correct anatomical site(s) and the supracondylar status. Sensitivity was estimated as the proportion of true acute fractures captured by the flag, using the random and enriched non-flagged samples to bound the number of missed fractures. [Author to insert results: number of true fractures found in set B and set C; site-parsing agreement in set A; estimated sensitivity.]</w:t>
      </w:r>
    </w:p>
    <w:p>
      <w:r>
        <w:t>Radiology linkage. Linkage of admissions to the radiology-report table (1,751,244 reports) as an independent reference standard was attempted but was not feasible: the imaging system used a different patient-identifier scheme and only 4,313 reports (0.25%) could be matched to a pediatric admission identifier.</w:t>
      </w:r>
    </w:p>
    <w:p>
      <w:r>
        <w:rPr>
          <w:b/>
          <w:sz w:val="20"/>
        </w:rPr>
        <w:t>Supplementary Table S1. Distribution of fractures by anatomical site (n = 6,206 children; a child may contribute to more than one site).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left w:val="none"/>
          <w:right w:val="none"/>
          <w:insideV w:val="none"/>
          <w:insideH w:val="none"/>
        </w:tblBorders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Fracture site</w:t>
            </w:r>
          </w:p>
        </w:tc>
        <w:tc>
          <w:tcPr>
            <w:tcW w:type="dxa" w:w="1728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Region</w:t>
            </w:r>
          </w:p>
        </w:tc>
        <w:tc>
          <w:tcPr>
            <w:tcW w:type="dxa" w:w="1728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n</w:t>
            </w:r>
          </w:p>
        </w:tc>
        <w:tc>
          <w:tcPr>
            <w:tcW w:type="dxa" w:w="1728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% of children</w:t>
            </w:r>
          </w:p>
        </w:tc>
        <w:tc>
          <w:tcPr>
            <w:tcW w:type="dxa" w:w="1728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% male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Humerus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1,341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21.6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69.6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Forearm (radius/ulna)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968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15.6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79.6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Skull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Craniofacial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922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14.9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63.7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Tibia/fibula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Lower limb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886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14.3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69.6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Femur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Lower limb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640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10.3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69.2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Hand (metacarpal/phalanx)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441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7.1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77.6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Ankle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Lower limb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435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7.0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64.4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Clavicle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410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6.6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75.6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Maxillofacial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Craniofacial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310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5.0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67.7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Foot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Lower limb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309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5.0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58.9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Pelvis/hip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Axial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301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4.9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65.8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Spine/vertebra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Axial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212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3.4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54.7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Rib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Axial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156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2.5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66.7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Patella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Lower limb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139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2.2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68.3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Nasal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Craniofacial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53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0.9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69.8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Scapula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38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78.9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Carpal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Upper limb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29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0.5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82.8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Sternum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Axial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0.2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42.9</w:t>
            </w:r>
          </w:p>
        </w:tc>
      </w:tr>
    </w:tbl>
    <w:p/>
    <w:p>
      <w:r>
        <w:rPr>
          <w:b/>
          <w:sz w:val="20"/>
        </w:rPr>
        <w:t>Supplementary Table S2. Sex-specific site predilection (age-adjusted logistic regression, one model per site; exploratory, not adjusted for multiplicity).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left w:val="none"/>
          <w:right w:val="none"/>
          <w:insideV w:val="none"/>
          <w:insideH w:val="none"/>
        </w:tblBorders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Site</w:t>
            </w:r>
          </w:p>
        </w:tc>
        <w:tc>
          <w:tcPr>
            <w:tcW w:type="dxa" w:w="1728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n</w:t>
            </w:r>
          </w:p>
        </w:tc>
        <w:tc>
          <w:tcPr>
            <w:tcW w:type="dxa" w:w="1728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% male</w:t>
            </w:r>
          </w:p>
        </w:tc>
        <w:tc>
          <w:tcPr>
            <w:tcW w:type="dxa" w:w="1728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Age-adjusted OR, male vs female (95% CI)</w:t>
            </w:r>
          </w:p>
        </w:tc>
        <w:tc>
          <w:tcPr>
            <w:tcW w:type="dxa" w:w="1728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p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Humerus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1,341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69.6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1.10 (0.96–1.26)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0.178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Forearm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968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79.6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1.60 (1.35–1.90)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&lt;0.001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Skull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922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63.7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0.94 (0.80–1.10)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0.414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Tibia/fibula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886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69.6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0.77 (0.66–0.90)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0.001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Femur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640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69.2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0.92 (0.77–1.10)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0.354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Hand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441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77.6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1.38 (1.09–1.74)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0.007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Ankle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435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64.4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0.47 (0.38–0.59)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&lt;0.001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Clavicle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410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75.6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1.24 (0.98–1.57)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0.070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Maxillofacial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310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67.7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0.91 (0.71–1.16)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0.440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Foot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309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58.9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0.46 (0.36–0.59)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&lt;0.001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Pelvis/hip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301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65.8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0.68 (0.53–0.87)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0.002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Spine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212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54.7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0.40 (0.30–0.53)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&lt;0.001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Patella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139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68.3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0.63 (0.43–0.91)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0.013</w:t>
            </w:r>
          </w:p>
        </w:tc>
      </w:tr>
    </w:tbl>
    <w:p/>
    <w:p>
      <w:r>
        <w:rPr>
          <w:b/>
          <w:sz w:val="20"/>
        </w:rPr>
        <w:t>Supplementary Table S3. Patient-identifier-format strata (data-source proxy).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left w:val="none"/>
          <w:right w:val="none"/>
          <w:insideV w:val="none"/>
          <w:insideH w:val="none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Characteristic</w:t>
            </w:r>
          </w:p>
        </w:tc>
        <w:tc>
          <w:tcPr>
            <w:tcW w:type="dxa" w:w="28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Identifier format 1 (8-digit)</w:t>
            </w:r>
          </w:p>
        </w:tc>
        <w:tc>
          <w:tcPr>
            <w:tcW w:type="dxa" w:w="28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Identifier format 2 (letter-prefixed)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Children, n (%)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4,987 (80.4)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1,219 (19.6)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Male, %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69.3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77.3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Median age, years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9.0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12.1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Upper-limb involvement, %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48.3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51.5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Lower-limb involvement, %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31.0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35.0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Craniofacial involvement, %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19.5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9.5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Children by year 2020/2021/2022/2023/2024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339/1513/1095/1088/952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88/370/307/246/208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Trend rate ratio per year, NB (95% CI)*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0.83 (0.79–0.87)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0.79 (0.74–0.84)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Stratum effect in limb model, OR (95% CI)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reference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0.93 (0.80–1.08)</w:t>
            </w:r>
          </w:p>
        </w:tc>
      </w:tr>
    </w:tbl>
    <w:p>
      <w:r>
        <w:rPr>
          <w:i/>
          <w:sz w:val="17"/>
        </w:rPr>
        <w:t>*Because the pediatric-admission denominator could not be split by identifier format, the within-stratum trend models use the pooled denominator (proportional-share assumption). Hospital-number series: the main numeric series contained 99.8% of acute-fracture admissions; two minor series (R- and L-prefixed; 10.3% of pediatric admissions overall, 3.0% in 2020 rising to 12.7% in 2024) contributed 16 fracture admissions — restricting the denominator to the main series gave a trend rate ratio of 0.82 (0.79–0.86).</w:t>
      </w:r>
    </w:p>
    <w:p/>
    <w:p>
      <w:r>
        <w:rPr>
          <w:b/>
          <w:sz w:val="20"/>
        </w:rPr>
        <w:t>Supplementary Table S4. Fracture pattern by COVID-19 period (exploratory; partial year 2020 excluded; p values only for the two pre-specified comparisons, Mann–Whitney U and χ²).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left w:val="none"/>
          <w:right w:val="none"/>
          <w:insideV w:val="none"/>
          <w:insideH w:val="none"/>
        </w:tblBorders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Characteristic</w:t>
            </w:r>
          </w:p>
        </w:tc>
        <w:tc>
          <w:tcPr>
            <w:tcW w:type="dxa" w:w="216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Restriction period (2021–2022)</w:t>
            </w:r>
          </w:p>
        </w:tc>
        <w:tc>
          <w:tcPr>
            <w:tcW w:type="dxa" w:w="216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Post-restriction period (2023–2024)</w:t>
            </w:r>
          </w:p>
        </w:tc>
        <w:tc>
          <w:tcPr>
            <w:tcW w:type="dxa" w:w="216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p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Children, n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3,285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2,494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—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Male, %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70.9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71.0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—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Median age, years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9.4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11.1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&lt;0.001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Upper-limb involvement, %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50.9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45.8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—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Lower-limb involvement, %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30.2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34.4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0.001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Supracondylar, %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10.6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8.2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—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Multiple-region, %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7.6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9.7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—</w:t>
            </w:r>
          </w:p>
        </w:tc>
      </w:tr>
    </w:tbl>
    <w:p/>
    <w:p>
      <w:r>
        <w:rPr>
          <w:b/>
          <w:sz w:val="20"/>
        </w:rPr>
        <w:t>Supplementary Table S5. Exploratory machine-learning benchmark for lower-only vs upper-only limb fracture (n = 4,728).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left w:val="none"/>
          <w:right w:val="none"/>
          <w:insideV w:val="none"/>
          <w:insideH w:val="none"/>
        </w:tblBorders>
      </w:tblPr>
      <w:tblGrid>
        <w:gridCol w:w="4320"/>
        <w:gridCol w:w="4320"/>
      </w:tblGrid>
      <w:tr>
        <w:tc>
          <w:tcPr>
            <w:tcW w:type="dxa" w:w="432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Model (5-fold cross-validation)</w:t>
            </w:r>
          </w:p>
        </w:tc>
        <w:tc>
          <w:tcPr>
            <w:tcW w:type="dxa" w:w="432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AUC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Gradient-boosted classifier (age, sex, season, year, weekend, hour)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0.629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Logistic regression (same features)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0.643</w:t>
            </w:r>
          </w:p>
        </w:tc>
      </w:tr>
    </w:tbl>
    <w:p/>
    <w:p>
      <w:r>
        <w:rPr>
          <w:b/>
          <w:sz w:val="20"/>
        </w:rPr>
        <w:t>Supplementary Table S6. Full output of the cosinor seasonal-trend models (50 months, October 2020 – November 2024).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left w:val="none"/>
          <w:right w:val="none"/>
          <w:insideV w:val="none"/>
          <w:insideH w:val="none"/>
        </w:tblBorders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Model</w:t>
            </w:r>
          </w:p>
        </w:tc>
        <w:tc>
          <w:tcPr>
            <w:tcW w:type="dxa" w:w="10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Harmonic amplitude A</w:t>
            </w:r>
          </w:p>
        </w:tc>
        <w:tc>
          <w:tcPr>
            <w:tcW w:type="dxa" w:w="10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Relative amplitude % (95% CI)</w:t>
            </w:r>
          </w:p>
        </w:tc>
        <w:tc>
          <w:tcPr>
            <w:tcW w:type="dxa" w:w="10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Peak-to-trough ratio (95% CI)</w:t>
            </w:r>
          </w:p>
        </w:tc>
        <w:tc>
          <w:tcPr>
            <w:tcW w:type="dxa" w:w="10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Peak month (95% CI)</w:t>
            </w:r>
          </w:p>
        </w:tc>
        <w:tc>
          <w:tcPr>
            <w:tcW w:type="dxa" w:w="10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Seasonality p</w:t>
            </w:r>
          </w:p>
        </w:tc>
        <w:tc>
          <w:tcPr>
            <w:tcW w:type="dxa" w:w="10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Trend RR/year (95% CI)</w:t>
            </w:r>
          </w:p>
        </w:tc>
        <w:tc>
          <w:tcPr>
            <w:tcW w:type="dxa" w:w="10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Trend p</w:t>
            </w:r>
          </w:p>
        </w:tc>
      </w:tr>
      <w:tr>
        <w:tc>
          <w:tcPr>
            <w:tcW w:type="dxa" w:w="1080"/>
          </w:tcPr>
          <w:p>
            <w:r>
              <w:rPr>
                <w:b w:val="0"/>
                <w:sz w:val="18"/>
              </w:rPr>
              <w:t>Episode level, negative-binomial (α = 0.038)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0.133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14.3 (6.7–24.5)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1.31 (1.14–1.55)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10.50 (9.13–11.79)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0.00746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0.823 (0.783–0.864)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9.4e-15</w:t>
            </w:r>
          </w:p>
        </w:tc>
      </w:tr>
      <w:tr>
        <w:tc>
          <w:tcPr>
            <w:tcW w:type="dxa" w:w="1080"/>
          </w:tcPr>
          <w:p>
            <w:r>
              <w:rPr>
                <w:b w:val="0"/>
                <w:sz w:val="18"/>
              </w:rPr>
              <w:t>Episode level, quasi-Poisson (scale = 6.82)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0.135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14.5 (6.0–25.7)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1.31 (1.12–1.58)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10.72 (9.41–0.10)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0.016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0.817 (0.776–0.861)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5.1e-14</w:t>
            </w:r>
          </w:p>
        </w:tc>
      </w:tr>
      <w:tr>
        <w:tc>
          <w:tcPr>
            <w:tcW w:type="dxa" w:w="1080"/>
          </w:tcPr>
          <w:p>
            <w:r>
              <w:rPr>
                <w:b w:val="0"/>
                <w:sz w:val="18"/>
              </w:rPr>
              <w:t>Episode level, Poisson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0.135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14.5 (10.8–18.5)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1.31 (1.23–1.40)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10.72 (10.26–11.19)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3.69e-14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0.817 (0.801–0.834)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4.2e-86</w:t>
            </w:r>
          </w:p>
        </w:tc>
      </w:tr>
      <w:tr>
        <w:tc>
          <w:tcPr>
            <w:tcW w:type="dxa" w:w="1080"/>
          </w:tcPr>
          <w:p>
            <w:r>
              <w:rPr>
                <w:b w:val="0"/>
                <w:sz w:val="18"/>
              </w:rPr>
              <w:t>Index admissions, negative-binomial (α = 0.057)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0.143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15.3 (6.6–28.0)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1.33 (1.14–1.64)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10.47 (8.92–11.96)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0.017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0.830 (0.783–0.879)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3.5e-10</w:t>
            </w:r>
          </w:p>
        </w:tc>
      </w:tr>
      <w:tr>
        <w:tc>
          <w:tcPr>
            <w:tcW w:type="dxa" w:w="1080"/>
          </w:tcPr>
          <w:p>
            <w:r>
              <w:rPr>
                <w:b w:val="0"/>
                <w:sz w:val="18"/>
              </w:rPr>
              <w:t>Index admissions, quasi-Poisson (scale = 8.78)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0.148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15.9 (5.8–29.8)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1.34 (1.12–1.69)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10.70 (9.22–0.27)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0.0334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0.824 (0.773–0.878)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2.8e-09</w:t>
            </w:r>
          </w:p>
        </w:tc>
      </w:tr>
      <w:tr>
        <w:tc>
          <w:tcPr>
            <w:tcW w:type="dxa" w:w="1080"/>
          </w:tcPr>
          <w:p>
            <w:r>
              <w:rPr>
                <w:b w:val="0"/>
                <w:sz w:val="18"/>
              </w:rPr>
              <w:t>Index admissions, Poisson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0.148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15.9 (11.9–20.3)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1.34 (1.25–1.45)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10.70 (10.25–11.16)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1.06e-14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0.824 (0.807–0.842)</w:t>
            </w:r>
          </w:p>
        </w:tc>
        <w:tc>
          <w:tcPr>
            <w:tcW w:type="dxa" w:w="1080"/>
          </w:tcPr>
          <w:p>
            <w:r>
              <w:rPr>
                <w:b w:val="0"/>
                <w:sz w:val="18"/>
              </w:rPr>
              <w:t>2.1e-69</w:t>
            </w:r>
          </w:p>
        </w:tc>
      </w:tr>
    </w:tbl>
    <w:p>
      <w:r>
        <w:rPr>
          <w:i/>
          <w:sz w:val="17"/>
        </w:rPr>
        <w:t>Single-joinpoint model (episode level, negative-binomial): joinpoint at 2023.6; annual percentage change -22.7% before and 0.0% after. Crude fracture-admission rate per 1,000 pediatric admissions by season: spring 29.1, summer 22.6, autumn 36.8, winter 27.8. Acute-fracture admission episodes / children by year: 2020 (Oct–Dec) 437/427; 2021 2,139/1,883; 2022 1,795/1,402; 2023 1,497/1,334; 2024 (Jan–Nov) 1,274/1,160.</w:t>
      </w:r>
    </w:p>
    <w:p/>
    <w:p>
      <w:r>
        <w:rPr>
          <w:b/>
          <w:sz w:val="26"/>
        </w:rPr>
        <w:t>Supplementary Figures</w:t>
      </w:r>
    </w:p>
    <w:p>
      <w:r>
        <w:rPr>
          <w:b/>
        </w:rPr>
        <w:t xml:space="preserve">Supplementary Figure S1. </w:t>
      </w:r>
      <w:r>
        <w:t>Study flow chart showing the two units of analysis (admission episodes and children) and the analytic subsets.</w:t>
      </w:r>
    </w:p>
    <w:p>
      <w:r>
        <w:drawing>
          <wp:inline xmlns:a="http://schemas.openxmlformats.org/drawingml/2006/main" xmlns:pic="http://schemas.openxmlformats.org/drawingml/2006/picture">
            <wp:extent cx="5486400" cy="46272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72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</w:rPr>
        <w:t xml:space="preserve">Supplementary Figure S2. </w:t>
      </w:r>
      <w:r>
        <w:t>Anatomical region composition by age group (100% stacked; regions not mutually exclusive).</w:t>
      </w:r>
    </w:p>
    <w:p>
      <w:r>
        <w:drawing>
          <wp:inline xmlns:a="http://schemas.openxmlformats.org/drawingml/2006/main" xmlns:pic="http://schemas.openxmlformats.org/drawingml/2006/picture">
            <wp:extent cx="5486400" cy="350148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148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</w:rPr>
        <w:t xml:space="preserve">Supplementary Figure S3. </w:t>
      </w:r>
      <w:r>
        <w:t>Site involvement (% of children in each age group) for the eight most common sites.</w:t>
      </w:r>
    </w:p>
    <w:p>
      <w:r>
        <w:drawing>
          <wp:inline xmlns:a="http://schemas.openxmlformats.org/drawingml/2006/main" xmlns:pic="http://schemas.openxmlformats.org/drawingml/2006/picture">
            <wp:extent cx="5486400" cy="384724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24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</w:rPr>
        <w:t xml:space="preserve">Supplementary Figure S4. </w:t>
      </w:r>
      <w:r>
        <w:t>Time-of-day and day-of-week distribution of acute-fracture admissions (weekend highlighted).</w:t>
      </w:r>
    </w:p>
    <w:p>
      <w:r>
        <w:drawing>
          <wp:inline xmlns:a="http://schemas.openxmlformats.org/drawingml/2006/main" xmlns:pic="http://schemas.openxmlformats.org/drawingml/2006/picture">
            <wp:extent cx="5486400" cy="233102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1021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</w:rPr>
        <w:t xml:space="preserve">Supplementary Figure S5. </w:t>
      </w:r>
      <w:r>
        <w:t>Single-joinpoint segmentation of the monthly fracture-admission rate (negative-binomial cosinor fit shown for reference).</w:t>
      </w:r>
    </w:p>
    <w:p>
      <w:r>
        <w:drawing>
          <wp:inline xmlns:a="http://schemas.openxmlformats.org/drawingml/2006/main" xmlns:pic="http://schemas.openxmlformats.org/drawingml/2006/picture">
            <wp:extent cx="5486400" cy="290174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174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</w:rPr>
        <w:t xml:space="preserve">Supplementary Figure S6. </w:t>
      </w:r>
      <w:r>
        <w:t>Fracture pattern in the COVID-19 restriction (2021–2022) versus post-restriction (2023–2024) period (exploratory).</w:t>
      </w:r>
    </w:p>
    <w:p>
      <w:r>
        <w:drawing>
          <wp:inline xmlns:a="http://schemas.openxmlformats.org/drawingml/2006/main" xmlns:pic="http://schemas.openxmlformats.org/drawingml/2006/picture">
            <wp:extent cx="5486400" cy="308008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008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6"/>
        </w:rPr>
        <w:t>STROBE Statement — checklist for cohort studies</w:t>
      </w:r>
    </w:p>
    <w:p>
      <w:r>
        <w:rPr>
          <w:b/>
          <w:sz w:val="20"/>
        </w:rPr>
        <w:t>Supplementary Table S7. STROBE checklist.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left w:val="none"/>
          <w:right w:val="none"/>
          <w:insideV w:val="none"/>
          <w:insideH w:val="none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Item</w:t>
            </w:r>
          </w:p>
        </w:tc>
        <w:tc>
          <w:tcPr>
            <w:tcW w:type="dxa" w:w="28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Recommendation</w:t>
            </w:r>
          </w:p>
        </w:tc>
        <w:tc>
          <w:tcPr>
            <w:tcW w:type="dxa" w:w="2880"/>
            <w:tcBorders>
              <w:bottom w:val="single" w:sz="8" w:color="000000"/>
            </w:tcBorders>
          </w:tcPr>
          <w:p>
            <w:r>
              <w:rPr>
                <w:b/>
                <w:sz w:val="18"/>
              </w:rPr>
              <w:t>Section in revised manuscript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Title and abstract — informative title; structured abstract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Title; Abstract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Background/rationale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Introduction, paras 1–2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Objectives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Introduction, para 3 (aims 1–3)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Study design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Methods 2.1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Setting, locations, dates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Methods 2.1 (three hospitals; Oct 2020–Nov 2024)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Participants/eligibility; unit of analysis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Methods 2.2; Supplementary Figure S1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Variables (outcomes, exposures, confounders)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Methods 2.4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Data sources/measurement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Methods 2.2–2.3; Supplementary Methods 1–3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Bias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Methods 2.3 (validation); Discussion 4.1 (referral bias, center identifier)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Study size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Methods 2.2 (all eligible cases)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Quantitative variables / groupings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Methods 2.4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Statistical methods (incl. subgroups, sensitivity, missing data)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Methods 2.5; Supplementary Table S6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Participants (numbers at each stage)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Results 3.1; Supplementary Figure S1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Descriptive data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Results 3.1–3.2; Table 1; Figure 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Outcome data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Results 3.2–3.5; Tables 1–3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Main results (adjusted estimates, CIs)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Results 3.3–3.5; Tables 2–3; Figures 2–4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Other analyses (interactions, sensitivity, exploratory)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Results 3.3, 3.6; Table 4; Supplementary Tables S2–S5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Key results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Discussion, para 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19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Limitations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Discussion 4.1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Interpretation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Discussion, paras 2–7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21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Generalisability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Discussion 4.1 (hospital-based; pooled cohort)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22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Funding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Declarations (Funding)</w:t>
            </w:r>
          </w:p>
        </w:tc>
      </w:tr>
    </w:tbl>
    <w:p>
      <w:r>
        <w:rPr>
          <w:i/>
          <w:sz w:val="17"/>
        </w:rPr>
        <w:t>Section references refer to the revised manuscript; item 6 (participants/unit of analysis) is addressed in Methods 2.2; item 9 (bias) in Methods 2.3 and Limitations; item 12(e) (sensitivity analyses) in Methods 2.5 and Results 3.6.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