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527" w:tblpY="2139"/>
        <w:tblW w:w="9323" w:type="dxa"/>
        <w:tblLayout w:type="fixed"/>
        <w:tblLook w:val="04A0" w:firstRow="1" w:lastRow="0" w:firstColumn="1" w:lastColumn="0" w:noHBand="0" w:noVBand="1"/>
      </w:tblPr>
      <w:tblGrid>
        <w:gridCol w:w="958"/>
        <w:gridCol w:w="1133"/>
        <w:gridCol w:w="850"/>
        <w:gridCol w:w="709"/>
        <w:gridCol w:w="284"/>
        <w:gridCol w:w="991"/>
        <w:gridCol w:w="709"/>
        <w:gridCol w:w="850"/>
        <w:gridCol w:w="991"/>
        <w:gridCol w:w="997"/>
        <w:gridCol w:w="851"/>
      </w:tblGrid>
      <w:tr w:rsidR="00E01CBF" w:rsidRPr="00E06D7E" w:rsidTr="00E01CBF">
        <w:tc>
          <w:tcPr>
            <w:tcW w:w="20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6381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One-year follow-up SF-36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20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Complete</w: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Missing</w:t>
            </w:r>
          </w:p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(All patients)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Missing</w:t>
            </w:r>
          </w:p>
          <w:p w:rsidR="00E01CBF" w:rsidRPr="00E06D7E" w:rsidRDefault="00E01CBF" w:rsidP="00E01CBF">
            <w:pPr>
              <w:pStyle w:val="NormalWeb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(One-year survivors)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2091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N = 608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tcBorders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N = 154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P*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N = 110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proofErr w:type="gramStart"/>
            <w:r w:rsidRPr="00E06D7E">
              <w:rPr>
                <w:sz w:val="20"/>
                <w:szCs w:val="20"/>
                <w:lang w:val="en-GB"/>
              </w:rPr>
              <w:t>p</w:t>
            </w:r>
            <w:proofErr w:type="gramEnd"/>
            <w:r w:rsidRPr="00E06D7E">
              <w:rPr>
                <w:sz w:val="20"/>
                <w:szCs w:val="20"/>
                <w:lang w:val="en-GB" w:eastAsia="en-US"/>
              </w:rPr>
              <w:t>†</w:t>
            </w:r>
          </w:p>
        </w:tc>
      </w:tr>
      <w:tr w:rsidR="00E01CBF" w:rsidRPr="00E06D7E" w:rsidTr="00E01CBF">
        <w:tc>
          <w:tcPr>
            <w:tcW w:w="2091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Male sex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364</w:t>
            </w: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(59.9)</w:t>
            </w:r>
          </w:p>
        </w:tc>
        <w:tc>
          <w:tcPr>
            <w:tcW w:w="284" w:type="dxa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85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(55.2)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0.29</w:t>
            </w:r>
          </w:p>
        </w:tc>
        <w:tc>
          <w:tcPr>
            <w:tcW w:w="991" w:type="dxa"/>
            <w:tcBorders>
              <w:top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62</w:t>
            </w:r>
          </w:p>
        </w:tc>
        <w:tc>
          <w:tcPr>
            <w:tcW w:w="997" w:type="dxa"/>
            <w:tcBorders>
              <w:top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(56.4)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0.47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73 (67 – 78)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75 (68 – 78)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0.26</w:t>
            </w:r>
          </w:p>
        </w:tc>
        <w:tc>
          <w:tcPr>
            <w:tcW w:w="1988" w:type="dxa"/>
            <w:gridSpan w:val="2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73 (67 – 78)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0.75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History of: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DM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(21.8)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(32.7)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0.005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(33.9)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0.006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noProof/>
                <w:sz w:val="20"/>
                <w:szCs w:val="20"/>
                <w:lang w:val="en-GB"/>
              </w:rPr>
              <w:t xml:space="preserve">  COPD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(18.3)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(23.4)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0.15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(19.1)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0.84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Peripheral VD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(10.9)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(13.6)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0.33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(11.8)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0.77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Stroke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(11.7)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(10.4)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0.65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(6.4)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0.10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MI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(12.7)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(11.7)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(10.9)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0.60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PCI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(10.5)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(13.0)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0.39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(10.9)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0.90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  Cardiac surgery 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(5.1)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(12.3)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(10.9)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0.02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EuroSCORE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 (5 – 8)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 (5 – 9)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988" w:type="dxa"/>
            <w:gridSpan w:val="2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 (5 – 9)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0.13</w:t>
            </w:r>
          </w:p>
        </w:tc>
      </w:tr>
      <w:tr w:rsidR="00E01CBF" w:rsidRPr="00E06D7E" w:rsidTr="00E01CBF">
        <w:tc>
          <w:tcPr>
            <w:tcW w:w="2091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Log EuroSCORE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5.8 (3.4 – 9.5)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7.6 (4.2 – 12.8)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988" w:type="dxa"/>
            <w:gridSpan w:val="2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7.0 (3.7 – 11.2)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0.13</w:t>
            </w:r>
          </w:p>
        </w:tc>
      </w:tr>
      <w:tr w:rsidR="00E01CBF" w:rsidRPr="00E06D7E" w:rsidTr="00E01CBF"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 xml:space="preserve">LVEF </w:t>
            </w: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&gt;50%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477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(78.8)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105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(68.2)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0.002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76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(69.1)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0.01</w:t>
            </w:r>
          </w:p>
        </w:tc>
      </w:tr>
      <w:tr w:rsidR="00E01CBF" w:rsidRPr="00E06D7E" w:rsidTr="00E01CBF"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30 – 50%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(18.0)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(22.7)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(21.8)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&lt;30%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(3.3)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(9.1)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(9.1)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NYHA</w:t>
            </w: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Class 1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(24.1)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(28.2)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0.12</w:t>
            </w: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(28.2)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0.27</w:t>
            </w:r>
          </w:p>
        </w:tc>
      </w:tr>
      <w:tr w:rsidR="00E01CBF" w:rsidRPr="00E06D7E" w:rsidTr="00E01CBF"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Class 2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348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(57.3)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(49.1)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(49.1)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rPr>
          <w:trHeight w:val="441"/>
        </w:trPr>
        <w:tc>
          <w:tcPr>
            <w:tcW w:w="958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shd w:val="clear" w:color="auto" w:fill="auto"/>
          </w:tcPr>
          <w:p w:rsidR="00E01CBF" w:rsidRPr="00E06D7E" w:rsidRDefault="00E01CBF" w:rsidP="00E01CBF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Class 3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(18.6)</w:t>
            </w:r>
          </w:p>
        </w:tc>
        <w:tc>
          <w:tcPr>
            <w:tcW w:w="284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709" w:type="dxa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(22.7)</w:t>
            </w:r>
          </w:p>
        </w:tc>
        <w:tc>
          <w:tcPr>
            <w:tcW w:w="850" w:type="dxa"/>
            <w:shd w:val="clear" w:color="auto" w:fill="auto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997" w:type="dxa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(22.7)</w:t>
            </w:r>
          </w:p>
        </w:tc>
        <w:tc>
          <w:tcPr>
            <w:tcW w:w="851" w:type="dxa"/>
          </w:tcPr>
          <w:p w:rsidR="00E01CBF" w:rsidRPr="00E06D7E" w:rsidRDefault="00E01CBF" w:rsidP="00E01CBF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01CBF" w:rsidRPr="00E06D7E" w:rsidTr="00E01CBF">
        <w:tc>
          <w:tcPr>
            <w:tcW w:w="2091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Peak gradient</w:t>
            </w:r>
            <w:r w:rsidRPr="00E06D7E">
              <w:rPr>
                <w:sz w:val="20"/>
                <w:szCs w:val="20"/>
                <w:lang w:val="en-GB"/>
              </w:rPr>
              <w:t xml:space="preserve"> (mmHg)</w:t>
            </w:r>
          </w:p>
        </w:tc>
        <w:tc>
          <w:tcPr>
            <w:tcW w:w="155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73 (60 – 90)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71 (56 – 90)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0.42</w:t>
            </w:r>
          </w:p>
        </w:tc>
        <w:tc>
          <w:tcPr>
            <w:tcW w:w="991" w:type="dxa"/>
            <w:tcBorders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71</w:t>
            </w:r>
          </w:p>
        </w:tc>
        <w:tc>
          <w:tcPr>
            <w:tcW w:w="997" w:type="dxa"/>
            <w:tcBorders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(58 – 90)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E01CBF" w:rsidRPr="00E06D7E" w:rsidRDefault="00E01CBF" w:rsidP="00E01CBF">
            <w:pPr>
              <w:pStyle w:val="NormalWeb"/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0.36</w:t>
            </w:r>
          </w:p>
        </w:tc>
      </w:tr>
    </w:tbl>
    <w:p w:rsidR="00E01CBF" w:rsidRDefault="00E01CBF" w:rsidP="00E01CBF">
      <w:pPr>
        <w:pStyle w:val="BalloonText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06D7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Supplement B – Baseline characteristics of patients with missing follow-up of SF-36 data. </w:t>
      </w:r>
      <w:bookmarkStart w:id="0" w:name="_GoBack"/>
      <w:bookmarkEnd w:id="0"/>
    </w:p>
    <w:p w:rsidR="00E01CBF" w:rsidRDefault="00E01CBF" w:rsidP="00E01CBF">
      <w:pPr>
        <w:pStyle w:val="BalloonText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:rsidR="00FA0FAF" w:rsidRDefault="00E01CBF" w:rsidP="00E01CBF">
      <w:pPr>
        <w:pStyle w:val="BalloonText"/>
        <w:spacing w:line="480" w:lineRule="auto"/>
        <w:jc w:val="both"/>
      </w:pPr>
      <w:r w:rsidRPr="00E06D7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Baseline characteristics of patients who completed the one-year follow-up of the SF-36 questionnaire, compared to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* </w:t>
      </w:r>
      <w:r w:rsidRPr="00E06D7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all </w:t>
      </w:r>
      <w:r w:rsidRPr="00E06D7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patients with missing 1-year follow-up (i.e. including patients who died &lt; 1 year) and </w:t>
      </w:r>
      <w:r w:rsidRPr="00E06D7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† </w:t>
      </w:r>
      <w:r w:rsidRPr="00E06D7E">
        <w:rPr>
          <w:rFonts w:ascii="Times New Roman" w:hAnsi="Times New Roman" w:cs="Times New Roman"/>
          <w:noProof/>
          <w:sz w:val="24"/>
          <w:szCs w:val="24"/>
          <w:lang w:val="en-GB"/>
        </w:rPr>
        <w:t>one-year survivors with missing follow-up (i.e. excluding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patients who died &lt; 1 year).  </w:t>
      </w:r>
    </w:p>
    <w:sectPr w:rsidR="00FA0FAF" w:rsidSect="00E01C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BF"/>
    <w:rsid w:val="000E2C62"/>
    <w:rsid w:val="00E01CBF"/>
    <w:rsid w:val="00F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6EEB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E01CBF"/>
    <w:rPr>
      <w:rFonts w:ascii="Times New Roman" w:eastAsia="MS ??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1C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BF"/>
    <w:rPr>
      <w:rFonts w:ascii="Lucida Grande" w:eastAsia="MS ??" w:hAnsi="Lucida Grande" w:cs="Lucida Grande"/>
      <w:sz w:val="18"/>
      <w:szCs w:val="18"/>
      <w:lang w:val="nl-NL" w:eastAsia="nl-NL"/>
    </w:rPr>
  </w:style>
  <w:style w:type="paragraph" w:styleId="NormalWeb">
    <w:name w:val="Normal (Web)"/>
    <w:basedOn w:val="Normal"/>
    <w:uiPriority w:val="99"/>
    <w:rsid w:val="00E01CB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E01CBF"/>
    <w:rPr>
      <w:rFonts w:ascii="Times New Roman" w:eastAsia="MS ??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1C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BF"/>
    <w:rPr>
      <w:rFonts w:ascii="Lucida Grande" w:eastAsia="MS ??" w:hAnsi="Lucida Grande" w:cs="Lucida Grande"/>
      <w:sz w:val="18"/>
      <w:szCs w:val="18"/>
      <w:lang w:val="nl-NL" w:eastAsia="nl-NL"/>
    </w:rPr>
  </w:style>
  <w:style w:type="paragraph" w:styleId="NormalWeb">
    <w:name w:val="Normal (Web)"/>
    <w:basedOn w:val="Normal"/>
    <w:uiPriority w:val="99"/>
    <w:rsid w:val="00E01C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1279</Characters>
  <Application>Microsoft Macintosh Word</Application>
  <DocSecurity>0</DocSecurity>
  <Lines>10</Lines>
  <Paragraphs>2</Paragraphs>
  <ScaleCrop>false</ScaleCrop>
  <Company>UMC Utrecht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Jansen Klomp</dc:creator>
  <cp:keywords/>
  <dc:description/>
  <cp:lastModifiedBy>Wouter Jansen Klomp</cp:lastModifiedBy>
  <cp:revision>1</cp:revision>
  <dcterms:created xsi:type="dcterms:W3CDTF">2015-03-29T09:47:00Z</dcterms:created>
  <dcterms:modified xsi:type="dcterms:W3CDTF">2015-03-29T09:51:00Z</dcterms:modified>
</cp:coreProperties>
</file>