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 w:line="360" w:lineRule="auto"/>
        <w:jc w:val="center"/>
        <w:rPr>
          <w:rStyle w:val="8"/>
          <w:rFonts w:hint="eastAsia"/>
          <w:lang w:val="en-US"/>
        </w:rPr>
      </w:pPr>
      <w:r>
        <w:rPr>
          <w:rStyle w:val="8"/>
          <w:rFonts w:hint="eastAsia"/>
          <w:lang w:val="en-US"/>
        </w:rPr>
        <w:t>Supplementary Materials</w:t>
      </w:r>
    </w:p>
    <w:p>
      <w:pPr>
        <w:spacing w:line="360" w:lineRule="auto"/>
        <w:rPr>
          <w:rFonts w:hint="eastAsia"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Surgical details</w:t>
      </w:r>
    </w:p>
    <w:p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median sternotomy was performed under general anesthesia</w:t>
      </w:r>
      <w:r>
        <w:rPr>
          <w:rFonts w:hint="eastAsia"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Anesthesia was maintained either by total intravenous anesthetics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propofol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vecuronium bromide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sufentanil) or inhalation agent (sevoflurane).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Tranexamic acid </w:t>
      </w:r>
      <w:r>
        <w:rPr>
          <w:rFonts w:hint="eastAsia" w:ascii="Times New Roman" w:hAnsi="Times New Roman" w:cs="Times New Roman"/>
          <w:sz w:val="24"/>
        </w:rPr>
        <w:t>was</w:t>
      </w:r>
      <w:r>
        <w:rPr>
          <w:rFonts w:ascii="Times New Roman" w:hAnsi="Times New Roman" w:cs="Times New Roman"/>
          <w:sz w:val="24"/>
        </w:rPr>
        <w:t xml:space="preserve"> used for coagulation support. CPB was instituted routinely at 2.2 to 2.5 L/min/m</w:t>
      </w:r>
      <w:r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. When the lesion involves the aortic arch, arterial cannulation was p</w:t>
      </w:r>
      <w:r>
        <w:rPr>
          <w:rFonts w:hint="eastAsia" w:ascii="Times New Roman" w:hAnsi="Times New Roman" w:cs="Times New Roman"/>
          <w:sz w:val="24"/>
        </w:rPr>
        <w:t>ositioned</w:t>
      </w:r>
      <w:r>
        <w:rPr>
          <w:rFonts w:ascii="Times New Roman" w:hAnsi="Times New Roman" w:cs="Times New Roman"/>
          <w:sz w:val="24"/>
        </w:rPr>
        <w:t xml:space="preserve"> in the right axillary and/or femoral artery; venous cannulations were bicaval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through right atrium</w:t>
      </w:r>
      <w:r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The cold blood cardioplegia for myocardial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protection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was perfus</w:t>
      </w:r>
      <w:r>
        <w:rPr>
          <w:rFonts w:hint="eastAsia" w:ascii="Times New Roman" w:hAnsi="Times New Roman"/>
          <w:sz w:val="24"/>
        </w:rPr>
        <w:t xml:space="preserve">ed </w:t>
      </w:r>
      <w:r>
        <w:rPr>
          <w:rFonts w:ascii="Times New Roman" w:hAnsi="Times New Roman"/>
          <w:sz w:val="24"/>
        </w:rPr>
        <w:t>through the left and right coronary arteries.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Repair and reconstruction of the aortic arch w</w:t>
      </w:r>
      <w:r>
        <w:rPr>
          <w:rFonts w:hint="eastAsia" w:ascii="Times New Roman" w:hAnsi="Times New Roman"/>
          <w:sz w:val="24"/>
        </w:rPr>
        <w:t>ere</w:t>
      </w:r>
      <w:r>
        <w:rPr>
          <w:rFonts w:ascii="Times New Roman" w:hAnsi="Times New Roman"/>
          <w:sz w:val="24"/>
        </w:rPr>
        <w:t xml:space="preserve"> performed under </w:t>
      </w:r>
      <w:r>
        <w:rPr>
          <w:rFonts w:hint="eastAsia" w:ascii="Times New Roman" w:hAnsi="Times New Roman"/>
          <w:sz w:val="24"/>
        </w:rPr>
        <w:t>deep or moderate</w:t>
      </w:r>
      <w:r>
        <w:rPr>
          <w:rFonts w:ascii="Times New Roman" w:hAnsi="Times New Roman"/>
          <w:sz w:val="24"/>
        </w:rPr>
        <w:t xml:space="preserve"> hypothermic</w:t>
      </w:r>
      <w:r>
        <w:rPr>
          <w:rFonts w:hint="eastAsia" w:ascii="Times New Roman" w:hAnsi="Times New Roman"/>
          <w:sz w:val="24"/>
        </w:rPr>
        <w:t xml:space="preserve"> and</w:t>
      </w:r>
      <w:r>
        <w:rPr>
          <w:rFonts w:ascii="Times New Roman" w:hAnsi="Times New Roman"/>
          <w:sz w:val="24"/>
        </w:rPr>
        <w:t xml:space="preserve"> circulatory arrest </w:t>
      </w:r>
      <w:r>
        <w:rPr>
          <w:rFonts w:hint="eastAsia" w:ascii="Times New Roman" w:hAnsi="Times New Roman"/>
          <w:sz w:val="24"/>
        </w:rPr>
        <w:t xml:space="preserve">(DHCA or MHCA), </w:t>
      </w:r>
      <w:r>
        <w:rPr>
          <w:rFonts w:ascii="Times New Roman" w:hAnsi="Times New Roman"/>
          <w:sz w:val="24"/>
        </w:rPr>
        <w:t>and selective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antegrade cerebral perfusion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via the right axillary artery. During the core cooling, </w:t>
      </w:r>
      <w:r>
        <w:rPr>
          <w:rFonts w:hint="eastAsia" w:ascii="Times New Roman" w:hAnsi="Times New Roman"/>
          <w:sz w:val="24"/>
        </w:rPr>
        <w:t>accompanying</w:t>
      </w:r>
      <w:r>
        <w:rPr>
          <w:rFonts w:ascii="Times New Roman" w:hAnsi="Times New Roman"/>
          <w:sz w:val="24"/>
        </w:rPr>
        <w:t xml:space="preserve"> cardiac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procedures</w:t>
      </w:r>
      <w:r>
        <w:rPr>
          <w:rFonts w:hint="eastAsia" w:ascii="Times New Roman" w:hAnsi="Times New Roman"/>
          <w:sz w:val="24"/>
        </w:rPr>
        <w:t xml:space="preserve"> including </w:t>
      </w:r>
      <w:r>
        <w:rPr>
          <w:rFonts w:ascii="Times New Roman" w:hAnsi="Times New Roman"/>
          <w:sz w:val="24"/>
        </w:rPr>
        <w:t>aortic valve repair or replacement,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sinus reconstruction, and root replacement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were performed if necessary</w:t>
      </w:r>
      <w:r>
        <w:rPr>
          <w:rFonts w:hint="eastAsia"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>
      <w:pPr>
        <w:spacing w:before="156" w:beforeLines="50" w:after="156" w:afterLines="50" w:line="360" w:lineRule="auto"/>
        <w:jc w:val="both"/>
        <w:rPr>
          <w:rStyle w:val="8"/>
          <w:rFonts w:hint="eastAsia"/>
          <w:lang w:val="en-US"/>
        </w:rPr>
      </w:pPr>
    </w:p>
    <w:p>
      <w:pPr>
        <w:autoSpaceDE w:val="0"/>
        <w:autoSpaceDN w:val="0"/>
        <w:spacing w:line="360" w:lineRule="auto"/>
        <w:rPr>
          <w:rFonts w:ascii="宋体" w:hAnsi="宋体" w:cs="宋体"/>
          <w:b/>
          <w:sz w:val="24"/>
        </w:rPr>
      </w:pPr>
      <w:r>
        <w:rPr>
          <w:rFonts w:hint="eastAsia"/>
          <w:b/>
          <w:bCs/>
          <w:sz w:val="24"/>
        </w:rPr>
        <w:t>The basic</w:t>
      </w:r>
      <w:r>
        <w:rPr>
          <w:b/>
          <w:bCs/>
          <w:sz w:val="24"/>
        </w:rPr>
        <w:t xml:space="preserve"> characteristics</w:t>
      </w:r>
      <w:r>
        <w:rPr>
          <w:rFonts w:hint="eastAsia"/>
          <w:b/>
          <w:bCs/>
          <w:sz w:val="24"/>
        </w:rPr>
        <w:t xml:space="preserve"> of overall cohort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A total of 399 patients were enrolled in this retrospective observational cohort, </w:t>
      </w:r>
      <w:r>
        <w:rPr>
          <w:rFonts w:hint="eastAsia"/>
          <w:sz w:val="24"/>
        </w:rPr>
        <w:t>amongst</w:t>
      </w:r>
      <w:r>
        <w:rPr>
          <w:sz w:val="24"/>
        </w:rPr>
        <w:t xml:space="preserve"> whom 70.9%</w:t>
      </w:r>
      <w:r>
        <w:rPr>
          <w:rFonts w:hint="eastAsia"/>
          <w:sz w:val="24"/>
        </w:rPr>
        <w:t xml:space="preserve"> </w:t>
      </w:r>
      <w:r>
        <w:rPr>
          <w:sz w:val="24"/>
        </w:rPr>
        <w:t>were male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with a </w:t>
      </w:r>
      <w:r>
        <w:rPr>
          <w:rFonts w:hint="eastAsia"/>
          <w:sz w:val="24"/>
        </w:rPr>
        <w:t>mean</w:t>
      </w:r>
      <w:r>
        <w:rPr>
          <w:sz w:val="24"/>
        </w:rPr>
        <w:t xml:space="preserve"> age of 52.0(16.0)</w:t>
      </w:r>
      <w:r>
        <w:rPr>
          <w:rFonts w:hint="eastAsia"/>
          <w:sz w:val="24"/>
        </w:rPr>
        <w:t xml:space="preserve"> years</w:t>
      </w:r>
      <w:r>
        <w:rPr>
          <w:sz w:val="24"/>
        </w:rPr>
        <w:t xml:space="preserve">. The </w:t>
      </w:r>
      <w:r>
        <w:rPr>
          <w:rFonts w:hint="eastAsia"/>
          <w:sz w:val="24"/>
        </w:rPr>
        <w:t xml:space="preserve">mean </w:t>
      </w:r>
      <w:r>
        <w:rPr>
          <w:sz w:val="24"/>
        </w:rPr>
        <w:t>arterial systolic pressure</w:t>
      </w:r>
      <w:r>
        <w:rPr>
          <w:rFonts w:hint="eastAsia"/>
          <w:sz w:val="24"/>
        </w:rPr>
        <w:t xml:space="preserve"> </w:t>
      </w:r>
      <w:r>
        <w:rPr>
          <w:sz w:val="24"/>
        </w:rPr>
        <w:t>was</w:t>
      </w:r>
      <w:r>
        <w:rPr>
          <w:rFonts w:hint="eastAsia"/>
          <w:sz w:val="24"/>
        </w:rPr>
        <w:t xml:space="preserve"> </w:t>
      </w:r>
      <w:r>
        <w:rPr>
          <w:sz w:val="24"/>
        </w:rPr>
        <w:t>137.0(28.0)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mmHg </w:t>
      </w:r>
      <w:r>
        <w:rPr>
          <w:rFonts w:hint="eastAsia"/>
          <w:sz w:val="24"/>
        </w:rPr>
        <w:t>with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the mean diastolic pressure being </w:t>
      </w:r>
      <w:r>
        <w:rPr>
          <w:sz w:val="24"/>
        </w:rPr>
        <w:t>76.0(20.0)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mmHg, </w:t>
      </w:r>
      <w:r>
        <w:rPr>
          <w:rFonts w:hint="eastAsia"/>
          <w:sz w:val="24"/>
        </w:rPr>
        <w:t xml:space="preserve">and the </w:t>
      </w:r>
      <w:r>
        <w:rPr>
          <w:sz w:val="24"/>
        </w:rPr>
        <w:t xml:space="preserve">mean arterial pressure (MAP) </w:t>
      </w:r>
      <w:r>
        <w:rPr>
          <w:rFonts w:hint="eastAsia"/>
          <w:sz w:val="24"/>
        </w:rPr>
        <w:t xml:space="preserve">being </w:t>
      </w:r>
      <w:r>
        <w:rPr>
          <w:sz w:val="24"/>
        </w:rPr>
        <w:t>95.0(19.7)</w:t>
      </w:r>
      <w:r>
        <w:rPr>
          <w:rFonts w:hint="eastAsia"/>
          <w:sz w:val="24"/>
        </w:rPr>
        <w:t xml:space="preserve"> </w:t>
      </w:r>
      <w:r>
        <w:rPr>
          <w:sz w:val="24"/>
        </w:rPr>
        <w:t>mmHg. 63.2%</w:t>
      </w:r>
      <w:r>
        <w:rPr>
          <w:rFonts w:hint="eastAsia"/>
          <w:sz w:val="24"/>
        </w:rPr>
        <w:t xml:space="preserve"> of the patients were not </w:t>
      </w:r>
      <w:r>
        <w:rPr>
          <w:sz w:val="24"/>
        </w:rPr>
        <w:t>smoke</w:t>
      </w:r>
      <w:r>
        <w:rPr>
          <w:rFonts w:hint="eastAsia"/>
          <w:sz w:val="24"/>
        </w:rPr>
        <w:t xml:space="preserve">rs, </w:t>
      </w:r>
      <w:r>
        <w:rPr>
          <w:sz w:val="24"/>
        </w:rPr>
        <w:t>and 54.1% were diagnosed with hypertension. Other comorbidit</w:t>
      </w:r>
      <w:r>
        <w:rPr>
          <w:rFonts w:hint="eastAsia"/>
          <w:sz w:val="24"/>
        </w:rPr>
        <w:t>ies</w:t>
      </w:r>
      <w:r>
        <w:rPr>
          <w:sz w:val="24"/>
        </w:rPr>
        <w:t xml:space="preserve"> included </w:t>
      </w:r>
      <w:r>
        <w:rPr>
          <w:rFonts w:hint="eastAsia"/>
          <w:sz w:val="24"/>
        </w:rPr>
        <w:t xml:space="preserve">the </w:t>
      </w:r>
      <w:r>
        <w:rPr>
          <w:sz w:val="24"/>
        </w:rPr>
        <w:t>diabetes</w:t>
      </w:r>
      <w:r>
        <w:rPr>
          <w:rFonts w:hint="eastAsia"/>
          <w:sz w:val="24"/>
        </w:rPr>
        <w:t xml:space="preserve"> (</w:t>
      </w:r>
      <w:r>
        <w:rPr>
          <w:sz w:val="24"/>
        </w:rPr>
        <w:t>3.0%</w:t>
      </w:r>
      <w:r>
        <w:rPr>
          <w:rFonts w:hint="eastAsia"/>
          <w:sz w:val="24"/>
        </w:rPr>
        <w:t>)</w:t>
      </w:r>
      <w:r>
        <w:rPr>
          <w:sz w:val="24"/>
        </w:rPr>
        <w:t>, peripheral vascular disease</w:t>
      </w:r>
      <w:r>
        <w:rPr>
          <w:rFonts w:hint="eastAsia"/>
          <w:sz w:val="24"/>
        </w:rPr>
        <w:t xml:space="preserve"> (</w:t>
      </w:r>
      <w:r>
        <w:rPr>
          <w:sz w:val="24"/>
        </w:rPr>
        <w:t>7.5%</w:t>
      </w:r>
      <w:r>
        <w:rPr>
          <w:rFonts w:hint="eastAsia"/>
          <w:sz w:val="24"/>
        </w:rPr>
        <w:t xml:space="preserve">) and </w:t>
      </w:r>
      <w:r>
        <w:rPr>
          <w:sz w:val="24"/>
        </w:rPr>
        <w:t>chronic pulmonary disease</w:t>
      </w:r>
      <w:r>
        <w:rPr>
          <w:rFonts w:hint="eastAsia"/>
          <w:sz w:val="24"/>
        </w:rPr>
        <w:t xml:space="preserve"> (</w:t>
      </w:r>
      <w:r>
        <w:rPr>
          <w:sz w:val="24"/>
        </w:rPr>
        <w:t>2.8%</w:t>
      </w:r>
      <w:r>
        <w:rPr>
          <w:rFonts w:hint="eastAsia"/>
          <w:sz w:val="24"/>
        </w:rPr>
        <w:t xml:space="preserve">). </w:t>
      </w:r>
      <w:r>
        <w:rPr>
          <w:sz w:val="24"/>
        </w:rPr>
        <w:t>1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patient </w:t>
      </w:r>
      <w:r>
        <w:rPr>
          <w:rFonts w:hint="eastAsia"/>
          <w:sz w:val="24"/>
        </w:rPr>
        <w:t>(</w:t>
      </w:r>
      <w:r>
        <w:rPr>
          <w:sz w:val="24"/>
        </w:rPr>
        <w:t>0.3%</w:t>
      </w:r>
      <w:r>
        <w:rPr>
          <w:rFonts w:hint="eastAsia"/>
          <w:sz w:val="24"/>
        </w:rPr>
        <w:t xml:space="preserve">) </w:t>
      </w:r>
      <w:r>
        <w:rPr>
          <w:sz w:val="24"/>
        </w:rPr>
        <w:t>had recent myocardial infarction</w:t>
      </w:r>
      <w:r>
        <w:rPr>
          <w:rFonts w:hint="eastAsia"/>
          <w:sz w:val="24"/>
        </w:rPr>
        <w:t xml:space="preserve"> and </w:t>
      </w:r>
      <w:r>
        <w:rPr>
          <w:sz w:val="24"/>
        </w:rPr>
        <w:t>9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patients </w:t>
      </w:r>
      <w:r>
        <w:rPr>
          <w:rFonts w:hint="eastAsia"/>
          <w:sz w:val="24"/>
        </w:rPr>
        <w:t>(</w:t>
      </w:r>
      <w:r>
        <w:rPr>
          <w:sz w:val="24"/>
        </w:rPr>
        <w:t>2.3%</w:t>
      </w:r>
      <w:r>
        <w:rPr>
          <w:rFonts w:hint="eastAsia"/>
          <w:sz w:val="24"/>
        </w:rPr>
        <w:t xml:space="preserve">) </w:t>
      </w:r>
      <w:r>
        <w:rPr>
          <w:sz w:val="24"/>
        </w:rPr>
        <w:t>had a prior history of cardiovascular surgery</w:t>
      </w:r>
      <w:r>
        <w:rPr>
          <w:rFonts w:hint="eastAsia"/>
          <w:sz w:val="24"/>
        </w:rPr>
        <w:t xml:space="preserve">. </w:t>
      </w:r>
      <w:r>
        <w:rPr>
          <w:sz w:val="24"/>
        </w:rPr>
        <w:t>3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patients </w:t>
      </w:r>
      <w:r>
        <w:rPr>
          <w:rFonts w:hint="eastAsia"/>
          <w:sz w:val="24"/>
        </w:rPr>
        <w:t>(</w:t>
      </w:r>
      <w:r>
        <w:rPr>
          <w:sz w:val="24"/>
        </w:rPr>
        <w:t>0.8%</w:t>
      </w:r>
      <w:r>
        <w:rPr>
          <w:rFonts w:hint="eastAsia"/>
          <w:sz w:val="24"/>
        </w:rPr>
        <w:t xml:space="preserve">) </w:t>
      </w:r>
      <w:r>
        <w:rPr>
          <w:sz w:val="24"/>
        </w:rPr>
        <w:t>were admitted with gestational status. 19</w:t>
      </w:r>
      <w:r>
        <w:rPr>
          <w:rFonts w:hint="eastAsia"/>
          <w:sz w:val="24"/>
        </w:rPr>
        <w:t xml:space="preserve"> </w:t>
      </w:r>
      <w:r>
        <w:rPr>
          <w:sz w:val="24"/>
        </w:rPr>
        <w:t>patients</w:t>
      </w:r>
      <w:r>
        <w:rPr>
          <w:rFonts w:hint="eastAsia"/>
          <w:sz w:val="24"/>
        </w:rPr>
        <w:t xml:space="preserve"> (</w:t>
      </w:r>
      <w:r>
        <w:rPr>
          <w:sz w:val="24"/>
        </w:rPr>
        <w:t>4.8%</w:t>
      </w:r>
      <w:r>
        <w:rPr>
          <w:rFonts w:hint="eastAsia"/>
          <w:sz w:val="24"/>
        </w:rPr>
        <w:t>)</w:t>
      </w:r>
      <w:r>
        <w:rPr>
          <w:sz w:val="24"/>
        </w:rPr>
        <w:t xml:space="preserve"> had</w:t>
      </w:r>
      <w:r>
        <w:rPr>
          <w:rFonts w:hint="eastAsia"/>
          <w:sz w:val="24"/>
        </w:rPr>
        <w:t xml:space="preserve"> the</w:t>
      </w:r>
      <w:r>
        <w:rPr>
          <w:sz w:val="24"/>
        </w:rPr>
        <w:t xml:space="preserve"> Marfan syndrome</w:t>
      </w:r>
      <w:r>
        <w:rPr>
          <w:rFonts w:hint="eastAsia"/>
          <w:sz w:val="24"/>
        </w:rPr>
        <w:t xml:space="preserve"> and</w:t>
      </w:r>
      <w:r>
        <w:rPr>
          <w:sz w:val="24"/>
        </w:rPr>
        <w:t xml:space="preserve"> 168 cases</w:t>
      </w:r>
      <w:r>
        <w:rPr>
          <w:rFonts w:hint="eastAsia"/>
          <w:sz w:val="24"/>
        </w:rPr>
        <w:t xml:space="preserve"> (</w:t>
      </w:r>
      <w:r>
        <w:rPr>
          <w:sz w:val="24"/>
        </w:rPr>
        <w:t>42.1%</w:t>
      </w:r>
      <w:r>
        <w:rPr>
          <w:rFonts w:hint="eastAsia"/>
          <w:sz w:val="24"/>
        </w:rPr>
        <w:t>)</w:t>
      </w:r>
      <w:r>
        <w:rPr>
          <w:sz w:val="24"/>
        </w:rPr>
        <w:t xml:space="preserve"> were diagnosed with </w:t>
      </w:r>
      <w:r>
        <w:rPr>
          <w:rFonts w:hint="eastAsia"/>
          <w:sz w:val="24"/>
        </w:rPr>
        <w:t xml:space="preserve">the </w:t>
      </w:r>
      <w:r>
        <w:rPr>
          <w:sz w:val="24"/>
        </w:rPr>
        <w:t>ascending aorta dilatation or aneurysm</w:t>
      </w:r>
      <w:r>
        <w:rPr>
          <w:rFonts w:hint="eastAsia"/>
          <w:sz w:val="24"/>
        </w:rPr>
        <w:t>. A</w:t>
      </w:r>
      <w:r>
        <w:rPr>
          <w:sz w:val="24"/>
        </w:rPr>
        <w:t xml:space="preserve"> total of 160 cases (40.1%) </w:t>
      </w:r>
      <w:r>
        <w:rPr>
          <w:rFonts w:hint="eastAsia"/>
          <w:sz w:val="24"/>
        </w:rPr>
        <w:t xml:space="preserve">were diagnosed </w:t>
      </w:r>
      <w:r>
        <w:rPr>
          <w:sz w:val="24"/>
        </w:rPr>
        <w:t>with DeBakay type I</w:t>
      </w:r>
      <w:r>
        <w:rPr>
          <w:rFonts w:hint="eastAsia"/>
          <w:sz w:val="24"/>
        </w:rPr>
        <w:t xml:space="preserve"> </w:t>
      </w:r>
      <w:r>
        <w:rPr>
          <w:sz w:val="24"/>
        </w:rPr>
        <w:t>aortic dissection</w:t>
      </w:r>
      <w:r>
        <w:rPr>
          <w:rFonts w:hint="eastAsia"/>
          <w:sz w:val="24"/>
        </w:rPr>
        <w:t xml:space="preserve"> (AD)</w:t>
      </w:r>
      <w:r>
        <w:rPr>
          <w:sz w:val="24"/>
        </w:rPr>
        <w:t>, 22 cases (5.5%)</w:t>
      </w:r>
      <w:r>
        <w:rPr>
          <w:rFonts w:hint="eastAsia"/>
          <w:sz w:val="24"/>
        </w:rPr>
        <w:t xml:space="preserve"> with </w:t>
      </w:r>
      <w:r>
        <w:rPr>
          <w:sz w:val="24"/>
        </w:rPr>
        <w:t>DeBakay type II</w:t>
      </w:r>
      <w:r>
        <w:rPr>
          <w:rFonts w:hint="eastAsia"/>
          <w:sz w:val="24"/>
        </w:rPr>
        <w:t xml:space="preserve"> AD</w:t>
      </w:r>
      <w:r>
        <w:rPr>
          <w:sz w:val="24"/>
        </w:rPr>
        <w:t xml:space="preserve">, </w:t>
      </w:r>
      <w:r>
        <w:rPr>
          <w:rFonts w:hint="eastAsia"/>
          <w:sz w:val="24"/>
        </w:rPr>
        <w:t xml:space="preserve">and </w:t>
      </w:r>
      <w:r>
        <w:rPr>
          <w:sz w:val="24"/>
        </w:rPr>
        <w:t>2 cases (0.5%)</w:t>
      </w:r>
      <w:r>
        <w:rPr>
          <w:rFonts w:hint="eastAsia"/>
          <w:sz w:val="24"/>
        </w:rPr>
        <w:t xml:space="preserve"> with </w:t>
      </w:r>
      <w:r>
        <w:rPr>
          <w:sz w:val="24"/>
        </w:rPr>
        <w:t xml:space="preserve">DeBakay type III </w:t>
      </w:r>
      <w:r>
        <w:rPr>
          <w:rFonts w:hint="eastAsia"/>
          <w:sz w:val="24"/>
        </w:rPr>
        <w:t>AD.</w:t>
      </w:r>
      <w:r>
        <w:rPr>
          <w:sz w:val="24"/>
        </w:rPr>
        <w:t xml:space="preserve"> 38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patients (9.5%) were diagnosed </w:t>
      </w:r>
      <w:r>
        <w:rPr>
          <w:rFonts w:hint="eastAsia"/>
          <w:sz w:val="24"/>
        </w:rPr>
        <w:t>with</w:t>
      </w:r>
      <w:r>
        <w:rPr>
          <w:sz w:val="24"/>
        </w:rPr>
        <w:t xml:space="preserve"> aortic root aneurysm, 4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patients (1.0%) </w:t>
      </w:r>
      <w:r>
        <w:rPr>
          <w:rFonts w:hint="eastAsia"/>
          <w:sz w:val="24"/>
        </w:rPr>
        <w:t xml:space="preserve">with </w:t>
      </w:r>
      <w:r>
        <w:rPr>
          <w:sz w:val="24"/>
        </w:rPr>
        <w:t>thoracic aortic aneurysm, 3 patients</w:t>
      </w:r>
      <w:r>
        <w:rPr>
          <w:rFonts w:hint="eastAsia"/>
          <w:sz w:val="24"/>
        </w:rPr>
        <w:t xml:space="preserve"> </w:t>
      </w:r>
      <w:r>
        <w:rPr>
          <w:sz w:val="24"/>
        </w:rPr>
        <w:t>(0.8%)</w:t>
      </w:r>
      <w:r>
        <w:rPr>
          <w:rFonts w:hint="eastAsia"/>
          <w:sz w:val="24"/>
        </w:rPr>
        <w:t xml:space="preserve"> with the </w:t>
      </w:r>
      <w:r>
        <w:rPr>
          <w:sz w:val="24"/>
        </w:rPr>
        <w:t>aortic intermural hematoma</w:t>
      </w:r>
      <w:r>
        <w:rPr>
          <w:rFonts w:hint="eastAsia"/>
          <w:sz w:val="24"/>
        </w:rPr>
        <w:t xml:space="preserve"> (IMH)</w:t>
      </w:r>
      <w:r>
        <w:rPr>
          <w:sz w:val="24"/>
        </w:rPr>
        <w:t xml:space="preserve">, 1 patient (0.3%) with </w:t>
      </w:r>
      <w:r>
        <w:rPr>
          <w:rFonts w:hint="eastAsia"/>
          <w:sz w:val="24"/>
        </w:rPr>
        <w:t xml:space="preserve">the </w:t>
      </w:r>
      <w:r>
        <w:rPr>
          <w:sz w:val="24"/>
        </w:rPr>
        <w:t xml:space="preserve">aneurysm </w:t>
      </w:r>
      <w:r>
        <w:rPr>
          <w:rFonts w:hint="eastAsia"/>
          <w:sz w:val="24"/>
        </w:rPr>
        <w:t>of brachiocephalic trunk</w:t>
      </w:r>
      <w:r>
        <w:rPr>
          <w:sz w:val="24"/>
        </w:rPr>
        <w:t xml:space="preserve">, and 1 patient (0.3%) with </w:t>
      </w:r>
      <w:r>
        <w:rPr>
          <w:rFonts w:hint="eastAsia"/>
          <w:sz w:val="24"/>
        </w:rPr>
        <w:t xml:space="preserve">the </w:t>
      </w:r>
      <w:r>
        <w:rPr>
          <w:sz w:val="24"/>
        </w:rPr>
        <w:t xml:space="preserve">arteritis. </w:t>
      </w:r>
      <w:r>
        <w:rPr>
          <w:rFonts w:hint="eastAsia"/>
          <w:sz w:val="24"/>
        </w:rPr>
        <w:t>P</w:t>
      </w:r>
      <w:r>
        <w:rPr>
          <w:sz w:val="24"/>
        </w:rPr>
        <w:t xml:space="preserve">reoperative </w:t>
      </w:r>
      <w:r>
        <w:rPr>
          <w:rFonts w:hint="eastAsia"/>
          <w:sz w:val="24"/>
        </w:rPr>
        <w:t>l</w:t>
      </w:r>
      <w:r>
        <w:rPr>
          <w:sz w:val="24"/>
        </w:rPr>
        <w:t>aboratory</w:t>
      </w:r>
      <w:r>
        <w:rPr>
          <w:rFonts w:hint="eastAsia"/>
          <w:sz w:val="24"/>
        </w:rPr>
        <w:t xml:space="preserve"> </w:t>
      </w:r>
      <w:r>
        <w:rPr>
          <w:sz w:val="24"/>
        </w:rPr>
        <w:t>examination</w:t>
      </w:r>
      <w:r>
        <w:rPr>
          <w:rFonts w:hint="eastAsia"/>
          <w:sz w:val="24"/>
        </w:rPr>
        <w:t>s showed that the serum creatinine (SCr)</w:t>
      </w:r>
      <w:r>
        <w:rPr>
          <w:sz w:val="24"/>
        </w:rPr>
        <w:t xml:space="preserve"> was 70.9(25.0)μmol/L</w:t>
      </w:r>
      <w:r>
        <w:rPr>
          <w:rFonts w:hint="eastAsia"/>
          <w:sz w:val="24"/>
        </w:rPr>
        <w:t xml:space="preserve">, and </w:t>
      </w:r>
      <w:r>
        <w:rPr>
          <w:sz w:val="24"/>
        </w:rPr>
        <w:t xml:space="preserve">the estimated glomerular filtration rate (eGFR) </w:t>
      </w:r>
      <w:r>
        <w:rPr>
          <w:rFonts w:hint="eastAsia"/>
          <w:sz w:val="24"/>
        </w:rPr>
        <w:t xml:space="preserve">being </w:t>
      </w:r>
      <w:r>
        <w:rPr>
          <w:sz w:val="24"/>
        </w:rPr>
        <w:t>99.0(22.5)ml/min/1.73m</w:t>
      </w:r>
      <w:r>
        <w:rPr>
          <w:sz w:val="24"/>
          <w:vertAlign w:val="superscript"/>
        </w:rPr>
        <w:t>2</w:t>
      </w:r>
      <w:r>
        <w:rPr>
          <w:rFonts w:hint="eastAsia"/>
          <w:sz w:val="24"/>
        </w:rPr>
        <w:t>.</w:t>
      </w:r>
      <w:r>
        <w:rPr>
          <w:sz w:val="24"/>
        </w:rPr>
        <w:t xml:space="preserve"> 36 cases (9.0%) </w:t>
      </w:r>
      <w:r>
        <w:rPr>
          <w:rFonts w:hint="eastAsia"/>
          <w:sz w:val="24"/>
        </w:rPr>
        <w:t xml:space="preserve">had a </w:t>
      </w:r>
      <w:r>
        <w:rPr>
          <w:sz w:val="24"/>
        </w:rPr>
        <w:t>preoperative SCr&gt;1.2mg/dl</w:t>
      </w:r>
      <w:r>
        <w:rPr>
          <w:rFonts w:hint="eastAsia"/>
          <w:sz w:val="24"/>
        </w:rPr>
        <w:t xml:space="preserve">. The mean </w:t>
      </w:r>
      <w:r>
        <w:rPr>
          <w:sz w:val="24"/>
        </w:rPr>
        <w:t xml:space="preserve">LVEF </w:t>
      </w:r>
      <w:r>
        <w:rPr>
          <w:rFonts w:hint="eastAsia"/>
          <w:sz w:val="24"/>
        </w:rPr>
        <w:t xml:space="preserve">before operation </w:t>
      </w:r>
      <w:r>
        <w:rPr>
          <w:sz w:val="24"/>
        </w:rPr>
        <w:t xml:space="preserve">was 60.0%(5.0%). 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The surgical </w:t>
      </w:r>
      <w:r>
        <w:rPr>
          <w:rFonts w:hint="eastAsia"/>
          <w:sz w:val="24"/>
        </w:rPr>
        <w:t>options</w:t>
      </w:r>
      <w:r>
        <w:rPr>
          <w:sz w:val="24"/>
        </w:rPr>
        <w:t xml:space="preserve"> of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overall cohort </w:t>
      </w:r>
      <w:r>
        <w:rPr>
          <w:rFonts w:hint="eastAsia"/>
          <w:sz w:val="24"/>
        </w:rPr>
        <w:t>we</w:t>
      </w:r>
      <w:r>
        <w:rPr>
          <w:sz w:val="24"/>
        </w:rPr>
        <w:t xml:space="preserve">re presented in </w:t>
      </w:r>
      <w:r>
        <w:rPr>
          <w:rFonts w:hint="eastAsia"/>
          <w:sz w:val="24"/>
        </w:rPr>
        <w:t xml:space="preserve">the supplementary </w:t>
      </w:r>
      <w:r>
        <w:rPr>
          <w:sz w:val="24"/>
        </w:rPr>
        <w:t xml:space="preserve">table </w:t>
      </w:r>
      <w:r>
        <w:rPr>
          <w:rFonts w:hint="eastAsia"/>
          <w:sz w:val="24"/>
        </w:rPr>
        <w:t>1</w:t>
      </w:r>
      <w:r>
        <w:rPr>
          <w:sz w:val="24"/>
        </w:rPr>
        <w:t>.</w:t>
      </w:r>
      <w:r>
        <w:rPr>
          <w:rFonts w:hint="eastAsia"/>
          <w:sz w:val="24"/>
        </w:rPr>
        <w:t xml:space="preserve"> A</w:t>
      </w:r>
      <w:r>
        <w:rPr>
          <w:sz w:val="24"/>
        </w:rPr>
        <w:t xml:space="preserve"> </w:t>
      </w:r>
      <w:r>
        <w:rPr>
          <w:rFonts w:hint="eastAsia"/>
          <w:sz w:val="24"/>
        </w:rPr>
        <w:t>sum</w:t>
      </w:r>
      <w:r>
        <w:rPr>
          <w:sz w:val="24"/>
        </w:rPr>
        <w:t xml:space="preserve"> of 240 cases</w:t>
      </w:r>
      <w:r>
        <w:rPr>
          <w:rFonts w:hint="eastAsia"/>
          <w:sz w:val="24"/>
        </w:rPr>
        <w:t xml:space="preserve"> (</w:t>
      </w:r>
      <w:r>
        <w:rPr>
          <w:sz w:val="24"/>
        </w:rPr>
        <w:t>60.2%</w:t>
      </w:r>
      <w:r>
        <w:rPr>
          <w:rFonts w:hint="eastAsia"/>
          <w:sz w:val="24"/>
        </w:rPr>
        <w:t xml:space="preserve">) </w:t>
      </w:r>
      <w:r>
        <w:rPr>
          <w:sz w:val="24"/>
        </w:rPr>
        <w:t xml:space="preserve">underwent </w:t>
      </w:r>
      <w:r>
        <w:rPr>
          <w:rFonts w:hint="eastAsia"/>
          <w:sz w:val="24"/>
        </w:rPr>
        <w:t xml:space="preserve">the </w:t>
      </w:r>
      <w:r>
        <w:rPr>
          <w:sz w:val="24"/>
        </w:rPr>
        <w:t>aortic arch surgery</w:t>
      </w:r>
      <w:r>
        <w:rPr>
          <w:rFonts w:hint="eastAsia"/>
          <w:sz w:val="24"/>
        </w:rPr>
        <w:t xml:space="preserve">, and </w:t>
      </w:r>
      <w:r>
        <w:rPr>
          <w:sz w:val="24"/>
        </w:rPr>
        <w:t>163 cases</w:t>
      </w:r>
      <w:r>
        <w:rPr>
          <w:rFonts w:hint="eastAsia"/>
          <w:sz w:val="24"/>
        </w:rPr>
        <w:t xml:space="preserve"> (</w:t>
      </w:r>
      <w:r>
        <w:rPr>
          <w:sz w:val="24"/>
        </w:rPr>
        <w:t>40.9%</w:t>
      </w:r>
      <w:r>
        <w:rPr>
          <w:rFonts w:hint="eastAsia"/>
          <w:sz w:val="24"/>
        </w:rPr>
        <w:t xml:space="preserve">) </w:t>
      </w:r>
      <w:r>
        <w:rPr>
          <w:sz w:val="24"/>
        </w:rPr>
        <w:t xml:space="preserve">underwent </w:t>
      </w:r>
      <w:r>
        <w:rPr>
          <w:rFonts w:hint="eastAsia"/>
          <w:sz w:val="24"/>
        </w:rPr>
        <w:t xml:space="preserve">the operations for </w:t>
      </w:r>
      <w:r>
        <w:rPr>
          <w:sz w:val="24"/>
        </w:rPr>
        <w:t xml:space="preserve">descending aorta. </w:t>
      </w:r>
      <w:r>
        <w:rPr>
          <w:rFonts w:hint="eastAsia"/>
          <w:sz w:val="24"/>
        </w:rPr>
        <w:t>D</w:t>
      </w:r>
      <w:r>
        <w:rPr>
          <w:sz w:val="24"/>
        </w:rPr>
        <w:t>uring aortic surgery</w:t>
      </w:r>
      <w:r>
        <w:rPr>
          <w:rFonts w:hint="eastAsia"/>
          <w:sz w:val="24"/>
        </w:rPr>
        <w:t xml:space="preserve">, </w:t>
      </w:r>
      <w:r>
        <w:rPr>
          <w:sz w:val="24"/>
        </w:rPr>
        <w:t>28 patients (7.0%) underwent CABG, 63</w:t>
      </w:r>
      <w:r>
        <w:rPr>
          <w:rFonts w:hint="eastAsia"/>
          <w:sz w:val="24"/>
        </w:rPr>
        <w:t xml:space="preserve"> </w:t>
      </w:r>
      <w:r>
        <w:rPr>
          <w:sz w:val="24"/>
        </w:rPr>
        <w:t>patients (15.8%) underwent valve replacement or shaping, and 3</w:t>
      </w:r>
      <w:r>
        <w:rPr>
          <w:rFonts w:hint="eastAsia"/>
          <w:sz w:val="24"/>
        </w:rPr>
        <w:t xml:space="preserve"> </w:t>
      </w:r>
      <w:r>
        <w:rPr>
          <w:sz w:val="24"/>
        </w:rPr>
        <w:t>patients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(0.8%) underwent cesarean section. </w:t>
      </w:r>
      <w:r>
        <w:rPr>
          <w:rFonts w:hint="eastAsia"/>
          <w:sz w:val="24"/>
        </w:rPr>
        <w:t>Mean a</w:t>
      </w:r>
      <w:r>
        <w:rPr>
          <w:sz w:val="24"/>
        </w:rPr>
        <w:t>ortic cross-clamp time was 91.0(32.0)min</w:t>
      </w:r>
      <w:r>
        <w:rPr>
          <w:rFonts w:hint="eastAsia"/>
          <w:sz w:val="24"/>
        </w:rPr>
        <w:t xml:space="preserve"> and mean </w:t>
      </w:r>
      <w:r>
        <w:rPr>
          <w:sz w:val="24"/>
        </w:rPr>
        <w:t>CPB time was 165.0(86.0)min</w:t>
      </w:r>
      <w:r>
        <w:rPr>
          <w:rFonts w:hint="eastAsia"/>
          <w:sz w:val="24"/>
        </w:rPr>
        <w:t>.</w:t>
      </w:r>
      <w:r>
        <w:rPr>
          <w:sz w:val="24"/>
        </w:rPr>
        <w:t xml:space="preserve"> </w:t>
      </w:r>
      <w:r>
        <w:rPr>
          <w:rFonts w:hint="eastAsia"/>
          <w:sz w:val="24"/>
        </w:rPr>
        <w:t>A</w:t>
      </w:r>
      <w:r>
        <w:rPr>
          <w:sz w:val="24"/>
        </w:rPr>
        <w:t xml:space="preserve"> total of 193 cases</w:t>
      </w:r>
      <w:r>
        <w:rPr>
          <w:rFonts w:hint="eastAsia"/>
          <w:sz w:val="24"/>
        </w:rPr>
        <w:t xml:space="preserve"> </w:t>
      </w:r>
      <w:r>
        <w:rPr>
          <w:sz w:val="24"/>
        </w:rPr>
        <w:t>(48.4%)</w:t>
      </w:r>
      <w:r>
        <w:rPr>
          <w:rFonts w:hint="eastAsia"/>
          <w:sz w:val="24"/>
        </w:rPr>
        <w:t xml:space="preserve"> experienced</w:t>
      </w:r>
      <w:r>
        <w:rPr>
          <w:sz w:val="24"/>
        </w:rPr>
        <w:t xml:space="preserve"> deep hypothermia and circulatory arrest (DHCA) or moderate hypothermia and circulatory arrest (MHCA).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  <w:highlight w:val="lightGray"/>
        </w:rPr>
      </w:pPr>
      <w:r>
        <w:rPr>
          <w:rFonts w:hint="eastAsia"/>
          <w:sz w:val="24"/>
        </w:rPr>
        <w:t>12 patients (3.0%) received CRRT after surgery and 22 patients (5.5%) underwent a secondary surgery during hospitalization. 12 patients (3.0%) died during hospitalization.</w:t>
      </w:r>
    </w:p>
    <w:p>
      <w:pPr>
        <w:autoSpaceDE w:val="0"/>
        <w:autoSpaceDN w:val="0"/>
        <w:spacing w:line="360" w:lineRule="auto"/>
        <w:rPr>
          <w:b/>
          <w:bCs/>
          <w:sz w:val="24"/>
        </w:rPr>
      </w:pPr>
    </w:p>
    <w:p>
      <w:pPr>
        <w:autoSpaceDE w:val="0"/>
        <w:autoSpaceDN w:val="0"/>
        <w:spacing w:line="360" w:lineRule="auto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The basic characteristics of patients with acute aortic syndrome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 xml:space="preserve">187 patients with acute aortic syndrome (AAS) were recruited in the AAS subgroup, amongst whom 66.8% were male, with a mean age of </w:t>
      </w:r>
      <w:r>
        <w:rPr>
          <w:sz w:val="24"/>
        </w:rPr>
        <w:t xml:space="preserve">47.0(14.0) </w:t>
      </w:r>
      <w:r>
        <w:rPr>
          <w:rFonts w:hint="eastAsia"/>
          <w:sz w:val="24"/>
        </w:rPr>
        <w:t xml:space="preserve">years. The mean systolic blood pressure was </w:t>
      </w:r>
      <w:r>
        <w:rPr>
          <w:sz w:val="24"/>
        </w:rPr>
        <w:t>142.0(33.0)</w:t>
      </w:r>
      <w:r>
        <w:rPr>
          <w:rFonts w:hint="eastAsia"/>
          <w:sz w:val="24"/>
        </w:rPr>
        <w:t xml:space="preserve"> </w:t>
      </w:r>
      <w:r>
        <w:rPr>
          <w:sz w:val="24"/>
        </w:rPr>
        <w:t>mm</w:t>
      </w:r>
      <w:r>
        <w:rPr>
          <w:rFonts w:hint="eastAsia"/>
          <w:sz w:val="24"/>
        </w:rPr>
        <w:t>H</w:t>
      </w:r>
      <w:r>
        <w:rPr>
          <w:sz w:val="24"/>
        </w:rPr>
        <w:t>g</w:t>
      </w:r>
      <w:r>
        <w:rPr>
          <w:rFonts w:hint="eastAsia"/>
          <w:sz w:val="24"/>
        </w:rPr>
        <w:t xml:space="preserve">, with the mean </w:t>
      </w:r>
      <w:r>
        <w:rPr>
          <w:sz w:val="24"/>
        </w:rPr>
        <w:t>diastolic blood pressure</w:t>
      </w:r>
      <w:r>
        <w:rPr>
          <w:rFonts w:hint="eastAsia"/>
          <w:sz w:val="24"/>
        </w:rPr>
        <w:t xml:space="preserve"> being</w:t>
      </w:r>
      <w:r>
        <w:rPr>
          <w:sz w:val="24"/>
        </w:rPr>
        <w:t xml:space="preserve"> 80.0(18.0)</w:t>
      </w:r>
      <w:r>
        <w:rPr>
          <w:rFonts w:hint="eastAsia"/>
          <w:sz w:val="24"/>
        </w:rPr>
        <w:t xml:space="preserve"> </w:t>
      </w:r>
      <w:r>
        <w:rPr>
          <w:sz w:val="24"/>
        </w:rPr>
        <w:t>mm</w:t>
      </w:r>
      <w:r>
        <w:rPr>
          <w:rFonts w:hint="eastAsia"/>
          <w:sz w:val="24"/>
        </w:rPr>
        <w:t>H</w:t>
      </w:r>
      <w:r>
        <w:rPr>
          <w:sz w:val="24"/>
        </w:rPr>
        <w:t xml:space="preserve">g, </w:t>
      </w:r>
      <w:r>
        <w:rPr>
          <w:rFonts w:hint="eastAsia"/>
          <w:sz w:val="24"/>
        </w:rPr>
        <w:t xml:space="preserve">and the MAP being </w:t>
      </w:r>
      <w:r>
        <w:rPr>
          <w:sz w:val="24"/>
        </w:rPr>
        <w:t>98.3(20.0)</w:t>
      </w:r>
      <w:r>
        <w:rPr>
          <w:rFonts w:hint="eastAsia"/>
          <w:sz w:val="24"/>
        </w:rPr>
        <w:t>mmHg. 67.9% of patients were not smokers and 73.3% were diagnosed with hypertension. Other comorbidities included diabetes (3.2%), peripheral vascular disease (7.5%), and chronic pulmonary disease (1.1%). 5 patients (2.7%) had a prior history of cardiovascular surgery, and 3 patients (1.6%) were admitted with gestational status. 5 patients (2.7%) had Marfan syndrome. A total of 160 cases (85.6%) were diagnosed with DeBakey t</w:t>
      </w:r>
      <w:r>
        <w:rPr>
          <w:sz w:val="24"/>
        </w:rPr>
        <w:tab/>
      </w:r>
      <w:r>
        <w:rPr>
          <w:rFonts w:hint="eastAsia"/>
          <w:sz w:val="24"/>
        </w:rPr>
        <w:t xml:space="preserve">ype I aortic dissection (AD), 22 cases (11.8%) with DeBakay type II AD, 2 cases (1.1%) with DeBakay type III AD, and 3 cases (1.6%) with IMH. Preoperative laboratory examinations demonstrated that the mean SCr of the AAS subgroup was </w:t>
      </w:r>
      <w:r>
        <w:rPr>
          <w:sz w:val="24"/>
        </w:rPr>
        <w:t>70.9(31.2)</w:t>
      </w:r>
      <w:r>
        <w:rPr>
          <w:rFonts w:hint="eastAsia"/>
          <w:sz w:val="24"/>
        </w:rPr>
        <w:t xml:space="preserve"> </w:t>
      </w:r>
      <w:r>
        <w:rPr>
          <w:sz w:val="24"/>
        </w:rPr>
        <w:t>μmol/L</w:t>
      </w:r>
      <w:r>
        <w:rPr>
          <w:rFonts w:hint="eastAsia"/>
          <w:sz w:val="24"/>
        </w:rPr>
        <w:t xml:space="preserve"> and</w:t>
      </w:r>
      <w:r>
        <w:rPr>
          <w:sz w:val="24"/>
        </w:rPr>
        <w:t xml:space="preserve"> the </w:t>
      </w:r>
      <w:r>
        <w:rPr>
          <w:rFonts w:hint="eastAsia"/>
          <w:sz w:val="24"/>
        </w:rPr>
        <w:t xml:space="preserve">mean </w:t>
      </w:r>
      <w:r>
        <w:rPr>
          <w:sz w:val="24"/>
        </w:rPr>
        <w:t>the estimated</w:t>
      </w:r>
      <w:r>
        <w:rPr>
          <w:rFonts w:hint="eastAsia"/>
          <w:sz w:val="24"/>
        </w:rPr>
        <w:t xml:space="preserve"> </w:t>
      </w:r>
      <w:r>
        <w:rPr>
          <w:sz w:val="24"/>
        </w:rPr>
        <w:t>eGFR was 99.7(26.4) ml/min/1.73m</w:t>
      </w:r>
      <w:r>
        <w:rPr>
          <w:sz w:val="24"/>
          <w:vertAlign w:val="superscript"/>
        </w:rPr>
        <w:t>2</w:t>
      </w:r>
      <w:r>
        <w:rPr>
          <w:rFonts w:hint="eastAsia"/>
          <w:sz w:val="24"/>
        </w:rPr>
        <w:t>.</w:t>
      </w:r>
      <w:r>
        <w:rPr>
          <w:sz w:val="24"/>
        </w:rPr>
        <w:t xml:space="preserve"> 27 cases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(14.4%) </w:t>
      </w:r>
      <w:r>
        <w:rPr>
          <w:rFonts w:hint="eastAsia"/>
          <w:sz w:val="24"/>
        </w:rPr>
        <w:t>had a preoperative</w:t>
      </w:r>
      <w:r>
        <w:rPr>
          <w:sz w:val="24"/>
        </w:rPr>
        <w:t xml:space="preserve"> SCr&gt;1.2mg/dl</w:t>
      </w:r>
      <w:r>
        <w:rPr>
          <w:rFonts w:hint="eastAsia"/>
          <w:sz w:val="24"/>
        </w:rPr>
        <w:t>.</w:t>
      </w:r>
      <w:r>
        <w:rPr>
          <w:sz w:val="24"/>
        </w:rPr>
        <w:t xml:space="preserve"> </w:t>
      </w:r>
      <w:r>
        <w:rPr>
          <w:rFonts w:hint="eastAsia"/>
          <w:sz w:val="24"/>
        </w:rPr>
        <w:t>A</w:t>
      </w:r>
      <w:r>
        <w:rPr>
          <w:sz w:val="24"/>
        </w:rPr>
        <w:t xml:space="preserve">nd </w:t>
      </w:r>
      <w:r>
        <w:rPr>
          <w:rFonts w:hint="eastAsia"/>
          <w:sz w:val="24"/>
        </w:rPr>
        <w:t xml:space="preserve">the mean </w:t>
      </w:r>
      <w:r>
        <w:rPr>
          <w:sz w:val="24"/>
        </w:rPr>
        <w:t xml:space="preserve">LVEF was 60.0%(2.0%). 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The surgical </w:t>
      </w:r>
      <w:r>
        <w:rPr>
          <w:rFonts w:hint="eastAsia"/>
          <w:sz w:val="24"/>
        </w:rPr>
        <w:t>options</w:t>
      </w:r>
      <w:r>
        <w:rPr>
          <w:sz w:val="24"/>
        </w:rPr>
        <w:t xml:space="preserve"> of</w:t>
      </w:r>
      <w:r>
        <w:rPr>
          <w:rFonts w:hint="eastAsia"/>
          <w:sz w:val="24"/>
        </w:rPr>
        <w:t xml:space="preserve"> patients with AAS</w:t>
      </w:r>
      <w:r>
        <w:rPr>
          <w:sz w:val="24"/>
        </w:rPr>
        <w:t xml:space="preserve"> </w:t>
      </w:r>
      <w:r>
        <w:rPr>
          <w:rFonts w:hint="eastAsia"/>
          <w:sz w:val="24"/>
        </w:rPr>
        <w:t>we</w:t>
      </w:r>
      <w:r>
        <w:rPr>
          <w:sz w:val="24"/>
        </w:rPr>
        <w:t xml:space="preserve">re presented in </w:t>
      </w:r>
      <w:r>
        <w:rPr>
          <w:rFonts w:hint="eastAsia"/>
          <w:sz w:val="24"/>
        </w:rPr>
        <w:t xml:space="preserve">the supplementary </w:t>
      </w:r>
      <w:r>
        <w:rPr>
          <w:sz w:val="24"/>
        </w:rPr>
        <w:t xml:space="preserve">table </w:t>
      </w:r>
      <w:r>
        <w:rPr>
          <w:rFonts w:hint="eastAsia"/>
          <w:sz w:val="24"/>
        </w:rPr>
        <w:t>2</w:t>
      </w:r>
      <w:r>
        <w:rPr>
          <w:sz w:val="24"/>
        </w:rPr>
        <w:t>.</w:t>
      </w:r>
      <w:r>
        <w:rPr>
          <w:rFonts w:hint="eastAsia"/>
          <w:sz w:val="24"/>
        </w:rPr>
        <w:t xml:space="preserve"> The majority (93.6%) of patients with AAS underwent aortic arch surgery and 158 patients (84.5%) underwent the operations for descending aorta. </w:t>
      </w:r>
      <w:r>
        <w:rPr>
          <w:sz w:val="24"/>
        </w:rPr>
        <w:t xml:space="preserve">17 cases (9.1%) </w:t>
      </w:r>
      <w:r>
        <w:rPr>
          <w:rFonts w:hint="eastAsia"/>
          <w:sz w:val="24"/>
        </w:rPr>
        <w:t>underwent</w:t>
      </w:r>
      <w:r>
        <w:rPr>
          <w:sz w:val="24"/>
        </w:rPr>
        <w:t xml:space="preserve"> the ascending aorta and right </w:t>
      </w:r>
      <w:r>
        <w:rPr>
          <w:rFonts w:hint="eastAsia"/>
          <w:sz w:val="24"/>
        </w:rPr>
        <w:t xml:space="preserve">aortic </w:t>
      </w:r>
      <w:r>
        <w:rPr>
          <w:sz w:val="24"/>
        </w:rPr>
        <w:t xml:space="preserve">arch replacement, 6 cases (3.2%) </w:t>
      </w:r>
      <w:r>
        <w:rPr>
          <w:rFonts w:hint="eastAsia"/>
          <w:sz w:val="24"/>
        </w:rPr>
        <w:t xml:space="preserve">underwent the </w:t>
      </w:r>
      <w:r>
        <w:rPr>
          <w:sz w:val="24"/>
        </w:rPr>
        <w:t>Bentall procedure, 5 cases (2.7%)</w:t>
      </w:r>
      <w:r>
        <w:rPr>
          <w:rFonts w:hint="eastAsia"/>
          <w:sz w:val="24"/>
        </w:rPr>
        <w:t xml:space="preserve"> underwent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the </w:t>
      </w:r>
      <w:r>
        <w:rPr>
          <w:sz w:val="24"/>
        </w:rPr>
        <w:t xml:space="preserve">improved Cabrol surgery, and 1 case (0.5%) </w:t>
      </w:r>
      <w:r>
        <w:rPr>
          <w:rFonts w:hint="eastAsia"/>
          <w:sz w:val="24"/>
        </w:rPr>
        <w:t xml:space="preserve">underwent </w:t>
      </w:r>
      <w:r>
        <w:rPr>
          <w:sz w:val="24"/>
        </w:rPr>
        <w:t>the ascending aorta replacement.</w:t>
      </w:r>
      <w:r>
        <w:rPr>
          <w:rFonts w:hint="eastAsia"/>
          <w:sz w:val="24"/>
        </w:rPr>
        <w:t xml:space="preserve"> Concomitantly, 6 patients (3.2%) underwent CABG, 16 patients (8.6%) underwent valve replacement or shaping, and 3 patients (1.6%) underwent cesarean section during aortic surgery. The mean aortic cross-clamp time was </w:t>
      </w:r>
      <w:r>
        <w:rPr>
          <w:sz w:val="24"/>
        </w:rPr>
        <w:t>97.0(27.0)</w:t>
      </w:r>
      <w:r>
        <w:rPr>
          <w:rFonts w:hint="eastAsia"/>
          <w:sz w:val="24"/>
        </w:rPr>
        <w:t xml:space="preserve"> </w:t>
      </w:r>
      <w:r>
        <w:rPr>
          <w:sz w:val="24"/>
        </w:rPr>
        <w:t>min</w:t>
      </w:r>
      <w:r>
        <w:rPr>
          <w:rFonts w:hint="eastAsia"/>
          <w:sz w:val="24"/>
        </w:rPr>
        <w:t xml:space="preserve"> and mean </w:t>
      </w:r>
      <w:r>
        <w:rPr>
          <w:sz w:val="24"/>
        </w:rPr>
        <w:t>CPB time was 202.0(46.3)</w:t>
      </w:r>
      <w:r>
        <w:rPr>
          <w:rFonts w:hint="eastAsia"/>
          <w:sz w:val="24"/>
        </w:rPr>
        <w:t xml:space="preserve"> </w:t>
      </w:r>
      <w:r>
        <w:rPr>
          <w:sz w:val="24"/>
        </w:rPr>
        <w:t>min</w:t>
      </w:r>
      <w:r>
        <w:rPr>
          <w:rFonts w:hint="eastAsia"/>
          <w:sz w:val="24"/>
        </w:rPr>
        <w:t>.</w:t>
      </w:r>
      <w:r>
        <w:rPr>
          <w:sz w:val="24"/>
        </w:rPr>
        <w:t xml:space="preserve"> </w:t>
      </w:r>
      <w:r>
        <w:rPr>
          <w:rFonts w:hint="eastAsia"/>
          <w:sz w:val="24"/>
        </w:rPr>
        <w:t>A</w:t>
      </w:r>
      <w:r>
        <w:rPr>
          <w:sz w:val="24"/>
        </w:rPr>
        <w:t xml:space="preserve"> total of 170 cases</w:t>
      </w:r>
      <w:r>
        <w:rPr>
          <w:rFonts w:hint="eastAsia"/>
          <w:sz w:val="24"/>
        </w:rPr>
        <w:t xml:space="preserve"> (</w:t>
      </w:r>
      <w:r>
        <w:rPr>
          <w:sz w:val="24"/>
        </w:rPr>
        <w:t>90.9%</w:t>
      </w:r>
      <w:r>
        <w:rPr>
          <w:rFonts w:hint="eastAsia"/>
          <w:sz w:val="24"/>
        </w:rPr>
        <w:t>)</w:t>
      </w:r>
      <w:r>
        <w:rPr>
          <w:sz w:val="24"/>
        </w:rPr>
        <w:t xml:space="preserve"> underwent DHCA or MHCA during the </w:t>
      </w:r>
      <w:r>
        <w:rPr>
          <w:rFonts w:hint="eastAsia"/>
          <w:sz w:val="24"/>
        </w:rPr>
        <w:t>operations and the mean</w:t>
      </w:r>
      <w:r>
        <w:rPr>
          <w:sz w:val="24"/>
        </w:rPr>
        <w:t xml:space="preserve"> time was 22.0(13.0)</w:t>
      </w:r>
      <w:r>
        <w:rPr>
          <w:rFonts w:hint="eastAsia"/>
          <w:sz w:val="24"/>
        </w:rPr>
        <w:t xml:space="preserve"> </w:t>
      </w:r>
      <w:r>
        <w:rPr>
          <w:sz w:val="24"/>
        </w:rPr>
        <w:t>min</w:t>
      </w:r>
      <w:r>
        <w:rPr>
          <w:rFonts w:hint="eastAsia"/>
          <w:sz w:val="24"/>
        </w:rPr>
        <w:t xml:space="preserve">. </w:t>
      </w:r>
      <w:r>
        <w:rPr>
          <w:sz w:val="24"/>
        </w:rPr>
        <w:t>3</w:t>
      </w:r>
      <w:r>
        <w:rPr>
          <w:rFonts w:hint="eastAsia"/>
          <w:sz w:val="24"/>
        </w:rPr>
        <w:t xml:space="preserve"> </w:t>
      </w:r>
      <w:r>
        <w:rPr>
          <w:sz w:val="24"/>
        </w:rPr>
        <w:t>patients</w:t>
      </w:r>
      <w:r>
        <w:rPr>
          <w:rFonts w:hint="eastAsia"/>
          <w:sz w:val="24"/>
        </w:rPr>
        <w:t xml:space="preserve"> (</w:t>
      </w:r>
      <w:r>
        <w:rPr>
          <w:sz w:val="24"/>
        </w:rPr>
        <w:t>1.6%</w:t>
      </w:r>
      <w:r>
        <w:rPr>
          <w:rFonts w:hint="eastAsia"/>
          <w:sz w:val="24"/>
        </w:rPr>
        <w:t>)</w:t>
      </w:r>
      <w:r>
        <w:rPr>
          <w:sz w:val="24"/>
        </w:rPr>
        <w:t xml:space="preserve"> </w:t>
      </w:r>
      <w:r>
        <w:rPr>
          <w:rFonts w:hint="eastAsia"/>
          <w:sz w:val="24"/>
        </w:rPr>
        <w:t>experienced the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restart of </w:t>
      </w:r>
      <w:r>
        <w:rPr>
          <w:sz w:val="24"/>
        </w:rPr>
        <w:t>CPB and the total operation time was 8.0(2.0) hours.</w:t>
      </w:r>
    </w:p>
    <w:p>
      <w:pPr>
        <w:autoSpaceDE w:val="0"/>
        <w:autoSpaceDN w:val="0"/>
        <w:spacing w:line="360" w:lineRule="auto"/>
        <w:ind w:firstLine="420"/>
        <w:rPr>
          <w:bCs/>
          <w:sz w:val="24"/>
        </w:rPr>
      </w:pPr>
      <w:r>
        <w:rPr>
          <w:rFonts w:hint="eastAsia"/>
          <w:bCs/>
          <w:sz w:val="24"/>
        </w:rPr>
        <w:t>Postoperatively</w:t>
      </w:r>
      <w:r>
        <w:rPr>
          <w:bCs/>
          <w:sz w:val="24"/>
        </w:rPr>
        <w:t>, 68 patients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 xml:space="preserve">(36.4%) </w:t>
      </w:r>
      <w:r>
        <w:rPr>
          <w:rFonts w:hint="eastAsia"/>
          <w:bCs/>
          <w:sz w:val="24"/>
        </w:rPr>
        <w:t>stayed</w:t>
      </w:r>
      <w:r>
        <w:rPr>
          <w:bCs/>
          <w:sz w:val="24"/>
        </w:rPr>
        <w:t xml:space="preserve"> in </w:t>
      </w:r>
      <w:r>
        <w:rPr>
          <w:rFonts w:hint="eastAsia"/>
          <w:bCs/>
          <w:sz w:val="24"/>
        </w:rPr>
        <w:t>the ICU</w:t>
      </w:r>
      <w:r>
        <w:rPr>
          <w:bCs/>
          <w:sz w:val="24"/>
        </w:rPr>
        <w:t xml:space="preserve"> for &gt;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 xml:space="preserve">7 days and 30 patients (16.0%) were intubated for &gt; 5 days. A total of 11 patients (5.9%) received CRRT and 15 </w:t>
      </w:r>
      <w:r>
        <w:rPr>
          <w:rFonts w:hint="eastAsia"/>
          <w:bCs/>
          <w:sz w:val="24"/>
        </w:rPr>
        <w:t xml:space="preserve">patients </w:t>
      </w:r>
      <w:r>
        <w:rPr>
          <w:bCs/>
          <w:sz w:val="24"/>
        </w:rPr>
        <w:t xml:space="preserve">(8.0%) underwent </w:t>
      </w:r>
      <w:r>
        <w:rPr>
          <w:rFonts w:hint="eastAsia"/>
          <w:bCs/>
          <w:sz w:val="24"/>
        </w:rPr>
        <w:t xml:space="preserve">a </w:t>
      </w:r>
      <w:r>
        <w:rPr>
          <w:bCs/>
          <w:sz w:val="24"/>
        </w:rPr>
        <w:t xml:space="preserve">secondary surgery during hospitalization. </w:t>
      </w:r>
      <w:r>
        <w:rPr>
          <w:rFonts w:hint="eastAsia"/>
          <w:bCs/>
          <w:sz w:val="24"/>
        </w:rPr>
        <w:t>9</w:t>
      </w:r>
      <w:r>
        <w:rPr>
          <w:bCs/>
          <w:sz w:val="24"/>
        </w:rPr>
        <w:t xml:space="preserve"> patients (4.8%)</w:t>
      </w:r>
      <w:r>
        <w:rPr>
          <w:rFonts w:hint="eastAsia"/>
          <w:bCs/>
          <w:sz w:val="24"/>
        </w:rPr>
        <w:t xml:space="preserve"> </w:t>
      </w:r>
      <w:r>
        <w:rPr>
          <w:bCs/>
          <w:sz w:val="24"/>
        </w:rPr>
        <w:t>died during hospitalization.</w:t>
      </w:r>
    </w:p>
    <w:p>
      <w:pPr>
        <w:autoSpaceDE w:val="0"/>
        <w:autoSpaceDN w:val="0"/>
        <w:spacing w:line="360" w:lineRule="auto"/>
        <w:rPr>
          <w:b/>
          <w:sz w:val="24"/>
        </w:rPr>
      </w:pPr>
    </w:p>
    <w:p>
      <w:pPr>
        <w:autoSpaceDE w:val="0"/>
        <w:autoSpaceDN w:val="0"/>
        <w:spacing w:line="360" w:lineRule="auto"/>
        <w:rPr>
          <w:b/>
          <w:sz w:val="24"/>
        </w:rPr>
      </w:pPr>
      <w:r>
        <w:rPr>
          <w:rFonts w:hint="eastAsia"/>
          <w:b/>
          <w:bCs/>
          <w:sz w:val="24"/>
        </w:rPr>
        <w:t xml:space="preserve">The basic characteristics of </w:t>
      </w:r>
      <w:bookmarkStart w:id="0" w:name="_GoBack"/>
      <w:r>
        <w:rPr>
          <w:rFonts w:hint="eastAsia"/>
          <w:b/>
          <w:bCs/>
          <w:sz w:val="24"/>
        </w:rPr>
        <w:t xml:space="preserve">patients </w:t>
      </w:r>
      <w:r>
        <w:rPr>
          <w:b/>
          <w:sz w:val="24"/>
        </w:rPr>
        <w:t>with</w:t>
      </w:r>
      <w:r>
        <w:rPr>
          <w:rFonts w:hint="eastAsia"/>
          <w:b/>
          <w:sz w:val="24"/>
        </w:rPr>
        <w:t>out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>acute</w:t>
      </w:r>
      <w:r>
        <w:rPr>
          <w:b/>
          <w:sz w:val="24"/>
        </w:rPr>
        <w:t xml:space="preserve"> aortic syndrome</w:t>
      </w:r>
      <w:bookmarkEnd w:id="0"/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A total of 212 patients without AAS were enrolled in the non-AAS subgroup, amongst whom 212 patients (74.5%) were male, with a mean</w:t>
      </w:r>
      <w:r>
        <w:rPr>
          <w:sz w:val="24"/>
        </w:rPr>
        <w:t xml:space="preserve"> age of 57.0(14.8) years. The </w:t>
      </w:r>
      <w:r>
        <w:rPr>
          <w:rFonts w:hint="eastAsia"/>
          <w:sz w:val="24"/>
        </w:rPr>
        <w:t xml:space="preserve">mean </w:t>
      </w:r>
      <w:r>
        <w:rPr>
          <w:sz w:val="24"/>
        </w:rPr>
        <w:t>systolic blood pressure</w:t>
      </w:r>
      <w:r>
        <w:rPr>
          <w:rFonts w:hint="eastAsia"/>
          <w:sz w:val="24"/>
        </w:rPr>
        <w:t xml:space="preserve"> </w:t>
      </w:r>
      <w:r>
        <w:rPr>
          <w:sz w:val="24"/>
        </w:rPr>
        <w:t>was 135.0(24.0)</w:t>
      </w:r>
      <w:r>
        <w:rPr>
          <w:rFonts w:hint="eastAsia"/>
          <w:sz w:val="24"/>
        </w:rPr>
        <w:t xml:space="preserve"> </w:t>
      </w:r>
      <w:r>
        <w:rPr>
          <w:sz w:val="24"/>
        </w:rPr>
        <w:t>mmHg</w:t>
      </w:r>
      <w:r>
        <w:rPr>
          <w:rFonts w:hint="eastAsia"/>
          <w:sz w:val="24"/>
        </w:rPr>
        <w:t>, with</w:t>
      </w:r>
      <w:r>
        <w:rPr>
          <w:sz w:val="24"/>
        </w:rPr>
        <w:t xml:space="preserve"> the </w:t>
      </w:r>
      <w:r>
        <w:rPr>
          <w:rFonts w:hint="eastAsia"/>
          <w:sz w:val="24"/>
        </w:rPr>
        <w:t xml:space="preserve">mean </w:t>
      </w:r>
      <w:r>
        <w:rPr>
          <w:sz w:val="24"/>
        </w:rPr>
        <w:t xml:space="preserve">diastolic blood pressure </w:t>
      </w:r>
      <w:r>
        <w:rPr>
          <w:rFonts w:hint="eastAsia"/>
          <w:sz w:val="24"/>
        </w:rPr>
        <w:t>being</w:t>
      </w:r>
      <w:r>
        <w:rPr>
          <w:sz w:val="24"/>
        </w:rPr>
        <w:t xml:space="preserve"> 73.0(19.0)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mmHg, </w:t>
      </w:r>
      <w:r>
        <w:rPr>
          <w:rFonts w:hint="eastAsia"/>
          <w:sz w:val="24"/>
        </w:rPr>
        <w:t xml:space="preserve">and the mean </w:t>
      </w:r>
      <w:r>
        <w:rPr>
          <w:sz w:val="24"/>
        </w:rPr>
        <w:t xml:space="preserve">MAP </w:t>
      </w:r>
      <w:r>
        <w:rPr>
          <w:rFonts w:hint="eastAsia"/>
          <w:sz w:val="24"/>
        </w:rPr>
        <w:t xml:space="preserve">being </w:t>
      </w:r>
      <w:r>
        <w:rPr>
          <w:sz w:val="24"/>
        </w:rPr>
        <w:t>93.2(15.3)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mmHg. 59.0% of patients </w:t>
      </w:r>
      <w:r>
        <w:rPr>
          <w:rFonts w:hint="eastAsia"/>
          <w:sz w:val="24"/>
        </w:rPr>
        <w:t>were</w:t>
      </w:r>
      <w:r>
        <w:rPr>
          <w:sz w:val="24"/>
        </w:rPr>
        <w:t xml:space="preserve"> not smoke</w:t>
      </w:r>
      <w:r>
        <w:rPr>
          <w:rFonts w:hint="eastAsia"/>
          <w:sz w:val="24"/>
        </w:rPr>
        <w:t>rs</w:t>
      </w:r>
      <w:r>
        <w:rPr>
          <w:sz w:val="24"/>
        </w:rPr>
        <w:t xml:space="preserve">, and 62.7% of patients </w:t>
      </w:r>
      <w:r>
        <w:rPr>
          <w:rFonts w:hint="eastAsia"/>
          <w:sz w:val="24"/>
        </w:rPr>
        <w:t>had</w:t>
      </w:r>
      <w:r>
        <w:rPr>
          <w:sz w:val="24"/>
        </w:rPr>
        <w:t xml:space="preserve"> no history of hypertension. Other </w:t>
      </w:r>
      <w:r>
        <w:rPr>
          <w:rFonts w:hint="eastAsia"/>
          <w:sz w:val="24"/>
        </w:rPr>
        <w:t>comorbiditie</w:t>
      </w:r>
      <w:r>
        <w:rPr>
          <w:sz w:val="24"/>
        </w:rPr>
        <w:t>s included diabetes (2.8%), peripheral vascular disease (7.5%), and chronic pulmonary disease (4.2%). 1 patient (0.5%) had recent myocardial infarction</w:t>
      </w:r>
      <w:r>
        <w:rPr>
          <w:rFonts w:hint="eastAsia"/>
          <w:sz w:val="24"/>
        </w:rPr>
        <w:t xml:space="preserve"> and</w:t>
      </w:r>
      <w:r>
        <w:rPr>
          <w:sz w:val="24"/>
        </w:rPr>
        <w:t xml:space="preserve"> 4 patients (1.9%) had a history of cardiovascular surgery. 14 patients (6.6%) had Marfan syndrome</w:t>
      </w:r>
      <w:r>
        <w:rPr>
          <w:rFonts w:hint="eastAsia"/>
          <w:sz w:val="24"/>
        </w:rPr>
        <w:t>.</w:t>
      </w:r>
      <w:r>
        <w:rPr>
          <w:sz w:val="24"/>
        </w:rPr>
        <w:t xml:space="preserve"> 168 </w:t>
      </w:r>
      <w:r>
        <w:rPr>
          <w:rFonts w:hint="eastAsia"/>
          <w:sz w:val="24"/>
        </w:rPr>
        <w:t xml:space="preserve">cases </w:t>
      </w:r>
      <w:r>
        <w:rPr>
          <w:sz w:val="24"/>
        </w:rPr>
        <w:t>(79.2%) were diagnosed with ascending aortic dilatation or ascending aortic aneurysm, 38 patients</w:t>
      </w:r>
      <w:r>
        <w:rPr>
          <w:rFonts w:hint="eastAsia"/>
          <w:sz w:val="24"/>
        </w:rPr>
        <w:t xml:space="preserve"> </w:t>
      </w:r>
      <w:r>
        <w:rPr>
          <w:sz w:val="24"/>
        </w:rPr>
        <w:t>(17.9%) with primary aortic root aneurysm, 4 patients</w:t>
      </w:r>
      <w:r>
        <w:rPr>
          <w:rFonts w:hint="eastAsia"/>
          <w:sz w:val="24"/>
        </w:rPr>
        <w:t xml:space="preserve"> </w:t>
      </w:r>
      <w:r>
        <w:rPr>
          <w:sz w:val="24"/>
        </w:rPr>
        <w:t>(1.9%) with thoracic aortic aneurysm, 1 patient (0.5%) with the aneurysm of brachiocephalic trunk, and 1 patient (0.5%)</w:t>
      </w:r>
      <w:r>
        <w:rPr>
          <w:rFonts w:hint="eastAsia"/>
          <w:sz w:val="24"/>
        </w:rPr>
        <w:t xml:space="preserve"> </w:t>
      </w:r>
      <w:r>
        <w:rPr>
          <w:sz w:val="24"/>
        </w:rPr>
        <w:t>with aortic arteritis.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Preoperative laboratory examinations showed that the </w:t>
      </w:r>
      <w:r>
        <w:rPr>
          <w:rFonts w:hint="eastAsia"/>
          <w:sz w:val="24"/>
        </w:rPr>
        <w:t xml:space="preserve">mean </w:t>
      </w:r>
      <w:r>
        <w:rPr>
          <w:sz w:val="24"/>
        </w:rPr>
        <w:t>SCr was 70.9(20.1)</w:t>
      </w:r>
      <w:r>
        <w:rPr>
          <w:rFonts w:hint="eastAsia"/>
          <w:sz w:val="24"/>
        </w:rPr>
        <w:t xml:space="preserve"> </w:t>
      </w:r>
      <w:r>
        <w:rPr>
          <w:sz w:val="24"/>
        </w:rPr>
        <w:t>μmol/L</w:t>
      </w:r>
      <w:r>
        <w:rPr>
          <w:rFonts w:hint="eastAsia"/>
          <w:sz w:val="24"/>
        </w:rPr>
        <w:t xml:space="preserve"> and the mean estimated </w:t>
      </w:r>
      <w:r>
        <w:rPr>
          <w:sz w:val="24"/>
        </w:rPr>
        <w:t>eGFR was 98.4(17.3) ml/min/1.73m</w:t>
      </w:r>
      <w:r>
        <w:rPr>
          <w:sz w:val="24"/>
          <w:vertAlign w:val="superscript"/>
        </w:rPr>
        <w:t>2</w:t>
      </w:r>
      <w:r>
        <w:rPr>
          <w:rFonts w:hint="eastAsia"/>
          <w:sz w:val="24"/>
        </w:rPr>
        <w:t>.</w:t>
      </w:r>
      <w:r>
        <w:rPr>
          <w:sz w:val="24"/>
        </w:rPr>
        <w:t xml:space="preserve"> 9 cases (4.2%)</w:t>
      </w:r>
      <w:r>
        <w:rPr>
          <w:rFonts w:hint="eastAsia"/>
          <w:sz w:val="24"/>
        </w:rPr>
        <w:t xml:space="preserve"> had a </w:t>
      </w:r>
      <w:r>
        <w:rPr>
          <w:sz w:val="24"/>
        </w:rPr>
        <w:t>preoperative SCr&gt;1.2mg/dl</w:t>
      </w:r>
      <w:r>
        <w:rPr>
          <w:rFonts w:hint="eastAsia"/>
          <w:sz w:val="24"/>
        </w:rPr>
        <w:t xml:space="preserve">. The mean </w:t>
      </w:r>
      <w:r>
        <w:rPr>
          <w:sz w:val="24"/>
        </w:rPr>
        <w:t xml:space="preserve">LVEF value was 60.0%(7.5%). </w:t>
      </w:r>
    </w:p>
    <w:p>
      <w:pPr>
        <w:autoSpaceDE w:val="0"/>
        <w:autoSpaceDN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 xml:space="preserve">The surgical </w:t>
      </w:r>
      <w:r>
        <w:rPr>
          <w:rFonts w:hint="eastAsia"/>
          <w:sz w:val="24"/>
        </w:rPr>
        <w:t>option</w:t>
      </w:r>
      <w:r>
        <w:rPr>
          <w:sz w:val="24"/>
        </w:rPr>
        <w:t xml:space="preserve">s of patients </w:t>
      </w:r>
      <w:r>
        <w:rPr>
          <w:rFonts w:hint="eastAsia"/>
          <w:sz w:val="24"/>
        </w:rPr>
        <w:t>with</w:t>
      </w:r>
      <w:r>
        <w:rPr>
          <w:sz w:val="24"/>
        </w:rPr>
        <w:t>out</w:t>
      </w:r>
      <w:r>
        <w:rPr>
          <w:rFonts w:hint="eastAsia"/>
          <w:sz w:val="24"/>
        </w:rPr>
        <w:t xml:space="preserve"> AAS</w:t>
      </w:r>
      <w:r>
        <w:rPr>
          <w:sz w:val="24"/>
        </w:rPr>
        <w:t xml:space="preserve"> </w:t>
      </w:r>
      <w:r>
        <w:rPr>
          <w:rFonts w:hint="eastAsia"/>
          <w:sz w:val="24"/>
        </w:rPr>
        <w:t>we</w:t>
      </w:r>
      <w:r>
        <w:rPr>
          <w:sz w:val="24"/>
        </w:rPr>
        <w:t xml:space="preserve">re presented in </w:t>
      </w:r>
      <w:r>
        <w:rPr>
          <w:rFonts w:hint="eastAsia"/>
          <w:sz w:val="24"/>
        </w:rPr>
        <w:t xml:space="preserve">supplementary </w:t>
      </w:r>
      <w:r>
        <w:rPr>
          <w:sz w:val="24"/>
        </w:rPr>
        <w:t>table 3.</w:t>
      </w:r>
      <w:r>
        <w:rPr>
          <w:rFonts w:hint="eastAsia"/>
          <w:sz w:val="24"/>
        </w:rPr>
        <w:t xml:space="preserve"> During the surgery, a sum of 65 patients (30.7%) underwent the aortic arch surgeries, and 2 patients (0.9%) underwent the operations for descending aorta. In addition, 22 patients (10.4%) underwent CABG and 158 patients (74.5%) underwent valve replacement or plastic surgery. Mean </w:t>
      </w:r>
      <w:r>
        <w:rPr>
          <w:sz w:val="24"/>
        </w:rPr>
        <w:t>aortic cross-clamp t</w:t>
      </w:r>
      <w:r>
        <w:rPr>
          <w:rFonts w:hint="eastAsia"/>
          <w:sz w:val="24"/>
        </w:rPr>
        <w:t xml:space="preserve">ime </w:t>
      </w:r>
      <w:r>
        <w:rPr>
          <w:sz w:val="24"/>
        </w:rPr>
        <w:t>was 83.0(29.5)</w:t>
      </w:r>
      <w:r>
        <w:rPr>
          <w:rFonts w:hint="eastAsia"/>
          <w:sz w:val="24"/>
        </w:rPr>
        <w:t xml:space="preserve"> </w:t>
      </w:r>
      <w:r>
        <w:rPr>
          <w:sz w:val="24"/>
        </w:rPr>
        <w:t>min, and</w:t>
      </w:r>
      <w:r>
        <w:rPr>
          <w:rFonts w:hint="eastAsia"/>
          <w:sz w:val="24"/>
        </w:rPr>
        <w:t xml:space="preserve"> mean</w:t>
      </w:r>
      <w:r>
        <w:rPr>
          <w:sz w:val="24"/>
        </w:rPr>
        <w:t xml:space="preserve"> CPB</w:t>
      </w:r>
      <w:r>
        <w:rPr>
          <w:rFonts w:hint="eastAsia"/>
          <w:sz w:val="24"/>
        </w:rPr>
        <w:t xml:space="preserve"> </w:t>
      </w:r>
      <w:r>
        <w:rPr>
          <w:sz w:val="24"/>
        </w:rPr>
        <w:t>time was 125.0(51.0)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min. Only </w:t>
      </w:r>
      <w:r>
        <w:rPr>
          <w:rFonts w:hint="eastAsia"/>
          <w:sz w:val="24"/>
        </w:rPr>
        <w:t>23 patients (10.8%) received DHCA or MHCA. 2 patients (0.9%) experienced the restart of CPB and the total operation time wa</w:t>
      </w:r>
      <w:r>
        <w:rPr>
          <w:sz w:val="24"/>
        </w:rPr>
        <w:t>s 6.0(1.5) hours.</w:t>
      </w:r>
    </w:p>
    <w:p>
      <w:pPr>
        <w:autoSpaceDE w:val="0"/>
        <w:autoSpaceDN w:val="0"/>
        <w:spacing w:line="360" w:lineRule="auto"/>
        <w:ind w:firstLine="240" w:firstLineChars="100"/>
        <w:rPr>
          <w:sz w:val="24"/>
        </w:rPr>
      </w:pPr>
      <w:r>
        <w:rPr>
          <w:rFonts w:hint="eastAsia"/>
          <w:sz w:val="24"/>
        </w:rPr>
        <w:t xml:space="preserve"> Only 11 patients (5.2%) were treated in ICU for &gt; 7 days, and 2 patients (0.9%) were intubated for &gt; 5 days. Only 1 patient (0.5%) received CRRT, and 7 patients (3.3%) received a secondary surgery. 3 patients (1.4%) died during hospitalization.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E7585"/>
    <w:rsid w:val="000B3455"/>
    <w:rsid w:val="001C3E27"/>
    <w:rsid w:val="002F342F"/>
    <w:rsid w:val="003E71ED"/>
    <w:rsid w:val="0040310D"/>
    <w:rsid w:val="00415BFD"/>
    <w:rsid w:val="004A54F2"/>
    <w:rsid w:val="00525649"/>
    <w:rsid w:val="005B1C69"/>
    <w:rsid w:val="008F15DA"/>
    <w:rsid w:val="009145EA"/>
    <w:rsid w:val="009C0795"/>
    <w:rsid w:val="00B94B15"/>
    <w:rsid w:val="00D1784C"/>
    <w:rsid w:val="00D9406A"/>
    <w:rsid w:val="00E529A6"/>
    <w:rsid w:val="00F8721F"/>
    <w:rsid w:val="00FD42E3"/>
    <w:rsid w:val="02EF70F2"/>
    <w:rsid w:val="03D6521D"/>
    <w:rsid w:val="04772537"/>
    <w:rsid w:val="04981A53"/>
    <w:rsid w:val="07CA6BB7"/>
    <w:rsid w:val="0ADB7879"/>
    <w:rsid w:val="0DE478A8"/>
    <w:rsid w:val="1345189A"/>
    <w:rsid w:val="16663E43"/>
    <w:rsid w:val="169B1A67"/>
    <w:rsid w:val="1AB73D50"/>
    <w:rsid w:val="1CB70DBC"/>
    <w:rsid w:val="1DD6108E"/>
    <w:rsid w:val="1E271D60"/>
    <w:rsid w:val="1F7B3203"/>
    <w:rsid w:val="23316EA0"/>
    <w:rsid w:val="252949A8"/>
    <w:rsid w:val="26FA60F7"/>
    <w:rsid w:val="28A43526"/>
    <w:rsid w:val="29125281"/>
    <w:rsid w:val="2DA07B0A"/>
    <w:rsid w:val="2F832080"/>
    <w:rsid w:val="33D672A4"/>
    <w:rsid w:val="35BD0FB9"/>
    <w:rsid w:val="35C5458A"/>
    <w:rsid w:val="36693B4C"/>
    <w:rsid w:val="3B8F01DC"/>
    <w:rsid w:val="415B1838"/>
    <w:rsid w:val="41F72CCD"/>
    <w:rsid w:val="423541C2"/>
    <w:rsid w:val="42634E4C"/>
    <w:rsid w:val="46DE66F6"/>
    <w:rsid w:val="487B21B5"/>
    <w:rsid w:val="49142D8B"/>
    <w:rsid w:val="4E0D23E5"/>
    <w:rsid w:val="4F43372E"/>
    <w:rsid w:val="553C374D"/>
    <w:rsid w:val="55F15B98"/>
    <w:rsid w:val="568C2D16"/>
    <w:rsid w:val="5B4976CD"/>
    <w:rsid w:val="61070471"/>
    <w:rsid w:val="61B10DB7"/>
    <w:rsid w:val="65C83304"/>
    <w:rsid w:val="674E57C1"/>
    <w:rsid w:val="67C05573"/>
    <w:rsid w:val="690F5E81"/>
    <w:rsid w:val="6B821501"/>
    <w:rsid w:val="6CF548C7"/>
    <w:rsid w:val="70B73F76"/>
    <w:rsid w:val="734B2303"/>
    <w:rsid w:val="73CF3C36"/>
    <w:rsid w:val="770B40DF"/>
    <w:rsid w:val="775E7585"/>
    <w:rsid w:val="78251BB1"/>
    <w:rsid w:val="78433C04"/>
    <w:rsid w:val="79D43591"/>
    <w:rsid w:val="7D5B5258"/>
    <w:rsid w:val="7E113316"/>
    <w:rsid w:val="7F2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spacing w:before="260" w:after="260" w:line="413" w:lineRule="auto"/>
      <w:outlineLvl w:val="2"/>
    </w:pPr>
    <w:rPr>
      <w:b/>
      <w:kern w:val="0"/>
      <w:sz w:val="32"/>
      <w:szCs w:val="20"/>
      <w:lang w:val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iPriority w:val="0"/>
    <w:rPr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3 字符"/>
    <w:link w:val="2"/>
    <w:qFormat/>
    <w:uiPriority w:val="0"/>
    <w:rPr>
      <w:b/>
      <w:kern w:val="0"/>
      <w:sz w:val="32"/>
      <w:szCs w:val="20"/>
      <w:lang w:val="zh-CN" w:eastAsia="zh-CN"/>
    </w:rPr>
  </w:style>
  <w:style w:type="character" w:customStyle="1" w:styleId="9">
    <w:name w:val="页眉 字符"/>
    <w:basedOn w:val="7"/>
    <w:link w:val="5"/>
    <w:uiPriority w:val="0"/>
    <w:rPr>
      <w:kern w:val="2"/>
      <w:sz w:val="18"/>
      <w:szCs w:val="18"/>
    </w:rPr>
  </w:style>
  <w:style w:type="character" w:customStyle="1" w:styleId="10">
    <w:name w:val="页脚 字符"/>
    <w:basedOn w:val="7"/>
    <w:link w:val="4"/>
    <w:uiPriority w:val="0"/>
    <w:rPr>
      <w:kern w:val="2"/>
      <w:sz w:val="18"/>
      <w:szCs w:val="18"/>
    </w:rPr>
  </w:style>
  <w:style w:type="character" w:customStyle="1" w:styleId="11">
    <w:name w:val="批注框文本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92D73D-8D6F-495E-8FBF-29F119F9CC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1039</Words>
  <Characters>5927</Characters>
  <Lines>49</Lines>
  <Paragraphs>13</Paragraphs>
  <TotalTime>1</TotalTime>
  <ScaleCrop>false</ScaleCrop>
  <LinksUpToDate>false</LinksUpToDate>
  <CharactersWithSpaces>6953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2019-06-30T08:13:00Z</dcterms:created>
  <dc:creator>Administrator</dc:creator>
  <cp:lastModifiedBy>晓春</cp:lastModifiedBy>
  <dcterms:modified xsi:type="dcterms:W3CDTF">2020-02-22T13:31:36Z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