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1EC" w:rsidRPr="00634A22" w:rsidRDefault="00EA51EC" w:rsidP="00EA51EC">
      <w:pPr>
        <w:spacing w:after="0" w:line="480" w:lineRule="auto"/>
        <w:jc w:val="both"/>
        <w:rPr>
          <w:rFonts w:ascii="Times New Roman" w:eastAsiaTheme="minorHAnsi" w:hAnsi="Times New Roman"/>
          <w:sz w:val="24"/>
          <w:szCs w:val="24"/>
          <w:u w:val="single"/>
          <w:lang w:val="en-CA"/>
        </w:rPr>
      </w:pPr>
      <w:r w:rsidRPr="00634A22">
        <w:rPr>
          <w:rFonts w:ascii="Times New Roman" w:eastAsiaTheme="minorHAnsi" w:hAnsi="Times New Roman"/>
          <w:sz w:val="24"/>
          <w:szCs w:val="24"/>
          <w:u w:val="single"/>
          <w:lang w:val="en-CA"/>
        </w:rPr>
        <w:t>Supplemental Methods</w:t>
      </w:r>
    </w:p>
    <w:p w:rsidR="00EA51EC" w:rsidRPr="00634A22" w:rsidRDefault="00EA51EC" w:rsidP="00EA51EC">
      <w:pPr>
        <w:spacing w:after="0" w:line="480" w:lineRule="auto"/>
        <w:rPr>
          <w:rFonts w:ascii="Times New Roman" w:eastAsia="Calibri" w:hAnsi="Times New Roman"/>
          <w:b/>
          <w:color w:val="000000"/>
          <w:sz w:val="24"/>
          <w:szCs w:val="24"/>
          <w:u w:color="000000"/>
          <w:bdr w:val="nil"/>
          <w:lang w:val="en-CA" w:eastAsia="fr-CA"/>
        </w:rPr>
      </w:pPr>
      <w:bookmarkStart w:id="0" w:name="_Hlk27251647"/>
      <w:r w:rsidRPr="00634A22">
        <w:rPr>
          <w:rFonts w:ascii="Times New Roman" w:eastAsia="Calibri" w:hAnsi="Times New Roman"/>
          <w:b/>
          <w:color w:val="000000"/>
          <w:sz w:val="24"/>
          <w:szCs w:val="24"/>
          <w:u w:color="000000"/>
          <w:bdr w:val="nil"/>
          <w:lang w:val="en-CA" w:eastAsia="fr-CA"/>
        </w:rPr>
        <w:t>Atrial Fibrillation Management</w:t>
      </w:r>
    </w:p>
    <w:p w:rsidR="00EA51EC" w:rsidRPr="00634A22" w:rsidRDefault="00EA51EC" w:rsidP="00EA51EC">
      <w:pPr>
        <w:spacing w:after="0" w:line="480" w:lineRule="auto"/>
        <w:jc w:val="both"/>
        <w:rPr>
          <w:rFonts w:ascii="Times New Roman" w:hAnsi="Times New Roman"/>
          <w:sz w:val="24"/>
          <w:szCs w:val="24"/>
          <w:lang w:val="en-CA"/>
        </w:rPr>
      </w:pPr>
      <w:bookmarkStart w:id="1" w:name="_Hlk20391184"/>
      <w:r w:rsidRPr="00634A22">
        <w:rPr>
          <w:rFonts w:ascii="Times New Roman" w:hAnsi="Times New Roman"/>
          <w:sz w:val="24"/>
          <w:szCs w:val="24"/>
          <w:lang w:val="en-CA"/>
        </w:rPr>
        <w:t>Monitoring of all patients by continuous telemetry from index surgery through hospital discharge is part of standard practice at both centers.  According to our local protocol for prevention of POAF, β–blockade was used in all suitable cases and amiodarone was not given prophylactically to avoid potential adverse effects.  Management therapy for a prolonged or symptomatic episode of POAF involved IV amiodarone, eventual conversion to oral administration when necessary, and incremental dose of β–blockade when appropriate.</w:t>
      </w:r>
    </w:p>
    <w:bookmarkEnd w:id="1"/>
    <w:p w:rsidR="00EA51EC" w:rsidRPr="00634A22" w:rsidRDefault="00EA51EC" w:rsidP="00EA51EC">
      <w:pPr>
        <w:spacing w:after="0" w:line="480" w:lineRule="auto"/>
        <w:jc w:val="both"/>
        <w:rPr>
          <w:rFonts w:ascii="Times New Roman" w:hAnsi="Times New Roman"/>
          <w:b/>
          <w:sz w:val="24"/>
          <w:szCs w:val="24"/>
          <w:lang w:val="en-CA"/>
        </w:rPr>
      </w:pPr>
      <w:r w:rsidRPr="00634A22">
        <w:rPr>
          <w:rFonts w:ascii="Times New Roman" w:hAnsi="Times New Roman"/>
          <w:b/>
          <w:sz w:val="24"/>
          <w:szCs w:val="24"/>
          <w:lang w:val="en-CA"/>
        </w:rPr>
        <w:t>Perioperative Anticoagulation and Antiplatelet Therapy</w:t>
      </w:r>
    </w:p>
    <w:p w:rsidR="00EA51EC" w:rsidRPr="00634A22" w:rsidRDefault="00EA51EC" w:rsidP="00EA51EC">
      <w:pPr>
        <w:spacing w:after="0" w:line="480" w:lineRule="auto"/>
        <w:jc w:val="both"/>
        <w:rPr>
          <w:rFonts w:ascii="Times New Roman" w:hAnsi="Times New Roman"/>
          <w:sz w:val="24"/>
          <w:szCs w:val="24"/>
          <w:lang w:val="en-CA"/>
        </w:rPr>
      </w:pPr>
      <w:bookmarkStart w:id="2" w:name="_Hlk20883685"/>
      <w:r w:rsidRPr="00634A22">
        <w:rPr>
          <w:rFonts w:ascii="Times New Roman" w:hAnsi="Times New Roman"/>
          <w:sz w:val="24"/>
          <w:szCs w:val="24"/>
          <w:lang w:val="en-CA"/>
        </w:rPr>
        <w:t>Acetylsalicylic acid (ASA) was discontinued at surgeon’s discretion, although never before CABG.  P2Y12 inhibitors were withheld 5 (clopidogrel, ticagrelor) or 7 (prasugrel) days before surgery.  Direct oral anticoagulants or vitamin K antagonists were discontinued 5 days preoperatively, without bridging.  In all cases, appropriate medication was resumed or started according to a standard timeline: ASA on postoperative day (POD) 1, P2Y12 inhibitors and heparin on POD 2 and oral anticoagulants on POD 3.</w:t>
      </w:r>
    </w:p>
    <w:bookmarkEnd w:id="2"/>
    <w:p w:rsidR="00EA51EC" w:rsidRPr="00634A22" w:rsidRDefault="00EA51EC" w:rsidP="00EA51EC">
      <w:pPr>
        <w:spacing w:after="0" w:line="480" w:lineRule="auto"/>
        <w:jc w:val="both"/>
        <w:rPr>
          <w:rFonts w:ascii="Times New Roman" w:hAnsi="Times New Roman"/>
          <w:b/>
          <w:sz w:val="24"/>
          <w:szCs w:val="24"/>
          <w:lang w:val="en-CA"/>
        </w:rPr>
      </w:pPr>
      <w:r w:rsidRPr="00634A22">
        <w:rPr>
          <w:rFonts w:ascii="Times New Roman" w:hAnsi="Times New Roman"/>
          <w:b/>
          <w:sz w:val="24"/>
          <w:szCs w:val="24"/>
          <w:lang w:val="en-CA"/>
        </w:rPr>
        <w:t>Monitoring of Bleeding and Retained Blood Complications</w:t>
      </w:r>
    </w:p>
    <w:p w:rsidR="00EA51EC" w:rsidRPr="0099696F" w:rsidRDefault="00EA51EC" w:rsidP="00EA51EC">
      <w:pPr>
        <w:spacing w:after="0" w:line="480" w:lineRule="auto"/>
        <w:jc w:val="both"/>
        <w:rPr>
          <w:rFonts w:ascii="Times New Roman" w:hAnsi="Times New Roman"/>
          <w:sz w:val="24"/>
          <w:szCs w:val="24"/>
          <w:lang w:val="en-CA"/>
        </w:rPr>
      </w:pPr>
      <w:bookmarkStart w:id="3" w:name="_Hlk8727135"/>
      <w:bookmarkStart w:id="4" w:name="_Hlk20883696"/>
      <w:bookmarkEnd w:id="0"/>
      <w:r w:rsidRPr="00634A22">
        <w:rPr>
          <w:rFonts w:ascii="Times New Roman" w:hAnsi="Times New Roman"/>
          <w:sz w:val="24"/>
          <w:szCs w:val="24"/>
          <w:lang w:val="en-CA"/>
        </w:rPr>
        <w:t>Surgical re-exploration was performed when drainage volume, recorded hourly, consistently exceeded 200 mL/h despite optimized management of coagulation with rotational thromboelastometry</w:t>
      </w:r>
      <w:bookmarkEnd w:id="3"/>
      <w:r w:rsidR="00E7268C">
        <w:rPr>
          <w:rFonts w:ascii="Times New Roman" w:hAnsi="Times New Roman"/>
          <w:sz w:val="24"/>
          <w:szCs w:val="24"/>
          <w:lang w:val="en-CA"/>
        </w:rPr>
        <w:t xml:space="preserve"> [</w:t>
      </w:r>
      <w:r w:rsidRPr="00634A22">
        <w:rPr>
          <w:rFonts w:ascii="Times New Roman" w:hAnsi="Times New Roman"/>
          <w:sz w:val="24"/>
          <w:szCs w:val="24"/>
          <w:lang w:val="en-CA"/>
        </w:rPr>
        <w:t>19</w:t>
      </w:r>
      <w:r w:rsidR="00E7268C">
        <w:rPr>
          <w:rFonts w:ascii="Times New Roman" w:hAnsi="Times New Roman"/>
          <w:sz w:val="24"/>
          <w:szCs w:val="24"/>
          <w:lang w:val="en-CA"/>
        </w:rPr>
        <w:t>].</w:t>
      </w:r>
      <w:bookmarkStart w:id="5" w:name="_GoBack"/>
      <w:bookmarkEnd w:id="5"/>
      <w:r w:rsidRPr="00634A22">
        <w:rPr>
          <w:rFonts w:ascii="Times New Roman" w:hAnsi="Times New Roman"/>
          <w:sz w:val="24"/>
          <w:szCs w:val="24"/>
          <w:lang w:val="en-CA"/>
        </w:rPr>
        <w:t xml:space="preserve"> </w:t>
      </w:r>
      <w:bookmarkStart w:id="6" w:name="_Hlk8758557"/>
      <w:r w:rsidRPr="00634A22">
        <w:rPr>
          <w:rFonts w:ascii="Times New Roman" w:hAnsi="Times New Roman"/>
          <w:sz w:val="24"/>
          <w:szCs w:val="24"/>
          <w:lang w:val="en-CA"/>
        </w:rPr>
        <w:t>Transesophageal or transthoracic echocardiogram (TTE) were performed on patients presenting hemodynamic instability to rule out hemodynamically significant pericardial effusion or tamponade.  Whenever positive, pericardiocentesis or re-exploration was undertaken.</w:t>
      </w:r>
      <w:bookmarkEnd w:id="6"/>
      <w:r w:rsidRPr="00634A22">
        <w:rPr>
          <w:rFonts w:ascii="Times New Roman" w:hAnsi="Times New Roman"/>
          <w:sz w:val="24"/>
          <w:szCs w:val="24"/>
          <w:lang w:val="en-CA"/>
        </w:rPr>
        <w:t xml:space="preserve">  Chest radiographs were routinely obtained preoperatively, upon chest tubes removal, </w:t>
      </w:r>
      <w:r w:rsidRPr="00634A22">
        <w:rPr>
          <w:rFonts w:ascii="Times New Roman" w:hAnsi="Times New Roman"/>
          <w:sz w:val="24"/>
          <w:szCs w:val="24"/>
          <w:lang w:val="en-CA"/>
        </w:rPr>
        <w:lastRenderedPageBreak/>
        <w:t>and daily after surgery.  Significant pleural effusions (˃500 mL), estimated by pulmonary sonography, were drained; smaller effusions were managed conservatively.</w:t>
      </w:r>
      <w:bookmarkEnd w:id="4"/>
    </w:p>
    <w:p w:rsidR="00526C0D" w:rsidRPr="00EA51EC" w:rsidRDefault="00526C0D">
      <w:pPr>
        <w:rPr>
          <w:lang w:val="en-CA"/>
        </w:rPr>
      </w:pPr>
    </w:p>
    <w:sectPr w:rsidR="00526C0D" w:rsidRPr="00EA51EC" w:rsidSect="00EA51EC">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1EC"/>
    <w:rsid w:val="00526C0D"/>
    <w:rsid w:val="00E7268C"/>
    <w:rsid w:val="00EA51E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FC6D9-A4D5-455D-849B-27BDE28C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1EC"/>
    <w:rPr>
      <w:rFonts w:ascii="Calibri" w:eastAsia="Times New Roman" w:hAnsi="Calibri" w:cs="Times New Roman"/>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292</Words>
  <Characters>1612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Lefebvre Lucie</dc:creator>
  <cp:keywords/>
  <dc:description/>
  <cp:lastModifiedBy>Lefebvre Lucie</cp:lastModifiedBy>
  <cp:revision>2</cp:revision>
  <dcterms:created xsi:type="dcterms:W3CDTF">2020-09-23T15:20:00Z</dcterms:created>
  <dcterms:modified xsi:type="dcterms:W3CDTF">2020-09-23T15:23:00Z</dcterms:modified>
</cp:coreProperties>
</file>