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80C12" w:rsidRPr="00FE0419" w:rsidRDefault="00E80C12" w:rsidP="00E80C12">
      <w:pPr>
        <w:rPr>
          <w:rFonts w:ascii="Calibri" w:hAnsi="Calibri" w:cs="Calibri"/>
          <w:b/>
          <w:bCs/>
          <w:color w:val="000000" w:themeColor="text1"/>
          <w:sz w:val="28"/>
          <w:szCs w:val="28"/>
          <w:lang w:val="en-GB"/>
        </w:rPr>
      </w:pPr>
      <w:r w:rsidRPr="00FE0419">
        <w:rPr>
          <w:rFonts w:ascii="Calibri" w:hAnsi="Calibri" w:cs="Calibri"/>
          <w:b/>
          <w:bCs/>
          <w:color w:val="000000" w:themeColor="text1"/>
          <w:sz w:val="28"/>
          <w:szCs w:val="28"/>
          <w:lang w:val="en-GB"/>
        </w:rPr>
        <w:t>Supplementary tables</w:t>
      </w:r>
    </w:p>
    <w:p w:rsidR="00E80C12" w:rsidRPr="00FE0419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  <w:r w:rsidRPr="00FE0419">
        <w:rPr>
          <w:rFonts w:ascii="Calibri" w:hAnsi="Calibri" w:cs="Calibri"/>
          <w:i/>
          <w:iCs/>
          <w:lang w:val="en-GB"/>
        </w:rPr>
        <w:t>Supplementary table 1. Missing data for variables reported in Table 1 and Table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80C12" w:rsidRPr="00FE0419" w:rsidTr="00211B0A">
        <w:tc>
          <w:tcPr>
            <w:tcW w:w="4508" w:type="dxa"/>
            <w:shd w:val="clear" w:color="auto" w:fill="CBD3DE" w:themeFill="text2" w:themeFillTint="40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508" w:type="dxa"/>
            <w:shd w:val="clear" w:color="auto" w:fill="CBD3DE" w:themeFill="text2" w:themeFillTint="40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Missing data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Age (years)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0 (0)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Female sex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0 (0)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BMI (kg/m</w:t>
            </w:r>
            <w:r w:rsidRPr="00FE0419">
              <w:rPr>
                <w:rFonts w:ascii="Calibri" w:hAnsi="Calibri" w:cs="Calibri"/>
                <w:b/>
                <w:bCs/>
                <w:vertAlign w:val="superscript"/>
                <w:lang w:val="en-GB"/>
              </w:rPr>
              <w:t>2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>)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69 (3.7)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Hypertension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8 (0.43)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Diabetes 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14 (0.76)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Hyperlipidaemia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60 (3.2)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CKD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16 (0.86)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LVEF ≤35%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53 (2.9)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Preoperative angiography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1 (0.05)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Left main stenosis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0 (0)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NYHA 4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0 (0)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CCS 4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0 (0)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FE0419">
              <w:rPr>
                <w:rFonts w:ascii="Calibri" w:hAnsi="Calibri" w:cs="Calibri"/>
                <w:b/>
                <w:bCs/>
                <w:lang w:val="en-GB"/>
              </w:rPr>
              <w:t>EuroSCORE</w:t>
            </w:r>
            <w:proofErr w:type="spellEnd"/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II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26 (1.4)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Haemoglobin (g/L)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13 (0.70)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Platelet count (10</w:t>
            </w:r>
            <w:r w:rsidRPr="00FE0419">
              <w:rPr>
                <w:rFonts w:ascii="Calibri" w:hAnsi="Calibri" w:cs="Calibri"/>
                <w:b/>
                <w:bCs/>
                <w:vertAlign w:val="superscript"/>
                <w:lang w:val="en-GB"/>
              </w:rPr>
              <w:t>9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>/L)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29 (1.57)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Clopidogrel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9 (0.49)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Aspirin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10 (0.54)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Heparins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9 (0.49)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Warfarin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9 (0.49)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Beta-blockers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26 (1.41)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Calcium channel blockers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190 (10.3)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Statins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68 (3.7)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Emergency operation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0 (0)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CPB time (min)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0 (0)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Cross-clamp time (min)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272 (14.7)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Skin-to-skin time (min)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179 (9.7)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CPB time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categories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* 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0 (0)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Chest drain output (mL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within 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>24h)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33 (1.8)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Re-exploration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for bleeding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sz w:val="22"/>
                <w:szCs w:val="22"/>
                <w:lang w:val="en-GB"/>
              </w:rPr>
              <w:t>0 (0)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auto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30-day mortality</w:t>
            </w:r>
          </w:p>
        </w:tc>
        <w:tc>
          <w:tcPr>
            <w:tcW w:w="4508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0 (0)</w:t>
            </w:r>
          </w:p>
        </w:tc>
      </w:tr>
    </w:tbl>
    <w:p w:rsidR="00E80C12" w:rsidRPr="00FE0419" w:rsidRDefault="00E80C12" w:rsidP="00E80C12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FE0419">
        <w:rPr>
          <w:rFonts w:ascii="Calibri" w:hAnsi="Calibri" w:cs="Calibri"/>
          <w:sz w:val="22"/>
          <w:szCs w:val="22"/>
          <w:lang w:val="en-GB"/>
        </w:rPr>
        <w:t xml:space="preserve">Abbreviations: BMI, body mass index; CKD, chronic kidney disease; LVEF, left ventricular ejection fraction; NYHA, New York Heart Association; CCS, Canadian Cardiovascular Society; </w:t>
      </w:r>
      <w:proofErr w:type="spellStart"/>
      <w:r w:rsidRPr="00FE0419">
        <w:rPr>
          <w:rFonts w:ascii="Calibri" w:hAnsi="Calibri" w:cs="Calibri"/>
          <w:sz w:val="22"/>
          <w:szCs w:val="22"/>
          <w:lang w:val="en-GB"/>
        </w:rPr>
        <w:t>EuroSCORE</w:t>
      </w:r>
      <w:proofErr w:type="spellEnd"/>
      <w:r w:rsidRPr="00FE0419">
        <w:rPr>
          <w:rFonts w:ascii="Calibri" w:hAnsi="Calibri" w:cs="Calibri"/>
          <w:sz w:val="22"/>
          <w:szCs w:val="22"/>
          <w:lang w:val="en-GB"/>
        </w:rPr>
        <w:t>, European System for Cardiac Operative Risk Evaluation; CPB, cardiopulmonary bypass.</w:t>
      </w:r>
    </w:p>
    <w:p w:rsidR="00E80C12" w:rsidRPr="00FE0419" w:rsidRDefault="00E80C12" w:rsidP="00E80C12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FE0419">
        <w:rPr>
          <w:rFonts w:ascii="Calibri" w:hAnsi="Calibri" w:cs="Calibri"/>
          <w:sz w:val="22"/>
          <w:szCs w:val="22"/>
          <w:lang w:val="en-GB"/>
        </w:rPr>
        <w:t>*Categorical variable with values OPCAB, 0-120min and &gt;120min.</w:t>
      </w:r>
    </w:p>
    <w:p w:rsidR="00E80C12" w:rsidRPr="00FE0419" w:rsidRDefault="00E80C12" w:rsidP="00E80C12">
      <w:pPr>
        <w:rPr>
          <w:rFonts w:ascii="Calibri" w:hAnsi="Calibri" w:cs="Calibri"/>
          <w:color w:val="000000" w:themeColor="text1"/>
          <w:lang w:val="en-GB"/>
        </w:rPr>
      </w:pP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  <w:r>
        <w:rPr>
          <w:rFonts w:ascii="Calibri" w:hAnsi="Calibri" w:cs="Calibri"/>
          <w:i/>
          <w:iCs/>
          <w:lang w:val="en-GB"/>
        </w:rPr>
        <w:lastRenderedPageBreak/>
        <w:t xml:space="preserve">Supplementary Table 2. Transfusion and fibrinogen proportions per year.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492"/>
      </w:tblGrid>
      <w:tr w:rsidR="00E80C12" w:rsidRPr="001217DC" w:rsidTr="00211B0A">
        <w:tc>
          <w:tcPr>
            <w:tcW w:w="1980" w:type="dxa"/>
            <w:shd w:val="clear" w:color="auto" w:fill="CBD3DE" w:themeFill="text2" w:themeFillTint="40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Year</w:t>
            </w:r>
          </w:p>
        </w:tc>
        <w:tc>
          <w:tcPr>
            <w:tcW w:w="3544" w:type="dxa"/>
            <w:shd w:val="clear" w:color="auto" w:fill="CBD3DE" w:themeFill="text2" w:themeFillTint="40"/>
            <w:vAlign w:val="center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Transfusion proportions, %</w:t>
            </w:r>
          </w:p>
        </w:tc>
        <w:tc>
          <w:tcPr>
            <w:tcW w:w="3492" w:type="dxa"/>
            <w:shd w:val="clear" w:color="auto" w:fill="CBD3DE" w:themeFill="text2" w:themeFillTint="40"/>
            <w:vAlign w:val="center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Fibrinogen proportions, %</w:t>
            </w:r>
          </w:p>
        </w:tc>
      </w:tr>
      <w:tr w:rsidR="00E80C12" w:rsidTr="00211B0A">
        <w:tc>
          <w:tcPr>
            <w:tcW w:w="1980" w:type="dxa"/>
            <w:shd w:val="clear" w:color="auto" w:fill="EAEDF1" w:themeFill="text2" w:themeFillTint="1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2005</w:t>
            </w:r>
          </w:p>
        </w:tc>
        <w:tc>
          <w:tcPr>
            <w:tcW w:w="3544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65.4</w:t>
            </w:r>
          </w:p>
        </w:tc>
        <w:tc>
          <w:tcPr>
            <w:tcW w:w="349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1.5</w:t>
            </w:r>
          </w:p>
        </w:tc>
      </w:tr>
      <w:tr w:rsidR="00E80C12" w:rsidTr="00211B0A">
        <w:tc>
          <w:tcPr>
            <w:tcW w:w="1980" w:type="dx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2006</w:t>
            </w:r>
          </w:p>
        </w:tc>
        <w:tc>
          <w:tcPr>
            <w:tcW w:w="3544" w:type="dx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79.3</w:t>
            </w:r>
          </w:p>
        </w:tc>
        <w:tc>
          <w:tcPr>
            <w:tcW w:w="3492" w:type="dx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3.7</w:t>
            </w:r>
          </w:p>
        </w:tc>
      </w:tr>
      <w:tr w:rsidR="00E80C12" w:rsidTr="00211B0A">
        <w:tc>
          <w:tcPr>
            <w:tcW w:w="1980" w:type="dxa"/>
            <w:shd w:val="clear" w:color="auto" w:fill="EAEDF1" w:themeFill="text2" w:themeFillTint="1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2007</w:t>
            </w:r>
          </w:p>
        </w:tc>
        <w:tc>
          <w:tcPr>
            <w:tcW w:w="3544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67.3</w:t>
            </w:r>
          </w:p>
        </w:tc>
        <w:tc>
          <w:tcPr>
            <w:tcW w:w="349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0.65</w:t>
            </w:r>
          </w:p>
        </w:tc>
      </w:tr>
      <w:tr w:rsidR="00E80C12" w:rsidTr="00211B0A">
        <w:tc>
          <w:tcPr>
            <w:tcW w:w="1980" w:type="dx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2008</w:t>
            </w:r>
          </w:p>
        </w:tc>
        <w:tc>
          <w:tcPr>
            <w:tcW w:w="3544" w:type="dx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76.2</w:t>
            </w:r>
          </w:p>
        </w:tc>
        <w:tc>
          <w:tcPr>
            <w:tcW w:w="3492" w:type="dx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4.9</w:t>
            </w:r>
          </w:p>
        </w:tc>
      </w:tr>
      <w:tr w:rsidR="00E80C12" w:rsidTr="00211B0A">
        <w:tc>
          <w:tcPr>
            <w:tcW w:w="1980" w:type="dxa"/>
            <w:shd w:val="clear" w:color="auto" w:fill="EAEDF1" w:themeFill="text2" w:themeFillTint="1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 xml:space="preserve">2009 </w:t>
            </w:r>
          </w:p>
        </w:tc>
        <w:tc>
          <w:tcPr>
            <w:tcW w:w="3544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78.1</w:t>
            </w:r>
          </w:p>
        </w:tc>
        <w:tc>
          <w:tcPr>
            <w:tcW w:w="349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2.2</w:t>
            </w:r>
          </w:p>
        </w:tc>
      </w:tr>
      <w:tr w:rsidR="00E80C12" w:rsidTr="00211B0A">
        <w:tc>
          <w:tcPr>
            <w:tcW w:w="1980" w:type="dx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2010</w:t>
            </w:r>
          </w:p>
        </w:tc>
        <w:tc>
          <w:tcPr>
            <w:tcW w:w="3544" w:type="dx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84.4</w:t>
            </w:r>
          </w:p>
        </w:tc>
        <w:tc>
          <w:tcPr>
            <w:tcW w:w="3492" w:type="dx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3.9</w:t>
            </w:r>
          </w:p>
        </w:tc>
      </w:tr>
      <w:tr w:rsidR="00E80C12" w:rsidTr="00211B0A">
        <w:tc>
          <w:tcPr>
            <w:tcW w:w="1980" w:type="dxa"/>
            <w:shd w:val="clear" w:color="auto" w:fill="EAEDF1" w:themeFill="text2" w:themeFillTint="1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2011</w:t>
            </w:r>
          </w:p>
        </w:tc>
        <w:tc>
          <w:tcPr>
            <w:tcW w:w="3544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77.8</w:t>
            </w:r>
          </w:p>
        </w:tc>
        <w:tc>
          <w:tcPr>
            <w:tcW w:w="349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1.7</w:t>
            </w:r>
          </w:p>
        </w:tc>
      </w:tr>
      <w:tr w:rsidR="00E80C12" w:rsidTr="00211B0A">
        <w:tc>
          <w:tcPr>
            <w:tcW w:w="1980" w:type="dx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2012</w:t>
            </w:r>
          </w:p>
        </w:tc>
        <w:tc>
          <w:tcPr>
            <w:tcW w:w="3544" w:type="dx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62.3</w:t>
            </w:r>
          </w:p>
        </w:tc>
        <w:tc>
          <w:tcPr>
            <w:tcW w:w="3492" w:type="dx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3.6</w:t>
            </w:r>
          </w:p>
        </w:tc>
      </w:tr>
      <w:tr w:rsidR="00E80C12" w:rsidTr="00211B0A">
        <w:tc>
          <w:tcPr>
            <w:tcW w:w="1980" w:type="dxa"/>
            <w:shd w:val="clear" w:color="auto" w:fill="EAEDF1" w:themeFill="text2" w:themeFillTint="1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2013</w:t>
            </w:r>
          </w:p>
        </w:tc>
        <w:tc>
          <w:tcPr>
            <w:tcW w:w="3544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51.1</w:t>
            </w:r>
          </w:p>
        </w:tc>
        <w:tc>
          <w:tcPr>
            <w:tcW w:w="349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6.0</w:t>
            </w:r>
          </w:p>
        </w:tc>
      </w:tr>
      <w:tr w:rsidR="00E80C12" w:rsidTr="00211B0A">
        <w:tc>
          <w:tcPr>
            <w:tcW w:w="1980" w:type="dxa"/>
            <w:shd w:val="clear" w:color="auto" w:fill="auto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2014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58.3</w:t>
            </w:r>
          </w:p>
        </w:tc>
        <w:tc>
          <w:tcPr>
            <w:tcW w:w="3492" w:type="dx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15.0</w:t>
            </w:r>
          </w:p>
        </w:tc>
      </w:tr>
      <w:tr w:rsidR="00E80C12" w:rsidTr="00211B0A">
        <w:tc>
          <w:tcPr>
            <w:tcW w:w="1980" w:type="dxa"/>
            <w:shd w:val="clear" w:color="auto" w:fill="EAEDF1" w:themeFill="text2" w:themeFillTint="1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2015</w:t>
            </w:r>
          </w:p>
        </w:tc>
        <w:tc>
          <w:tcPr>
            <w:tcW w:w="3544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45.5</w:t>
            </w:r>
          </w:p>
        </w:tc>
        <w:tc>
          <w:tcPr>
            <w:tcW w:w="349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8.9</w:t>
            </w:r>
          </w:p>
        </w:tc>
      </w:tr>
      <w:tr w:rsidR="00E80C12" w:rsidTr="00211B0A">
        <w:tc>
          <w:tcPr>
            <w:tcW w:w="1980" w:type="dx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2016</w:t>
            </w:r>
          </w:p>
        </w:tc>
        <w:tc>
          <w:tcPr>
            <w:tcW w:w="3544" w:type="dx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45.8</w:t>
            </w:r>
          </w:p>
        </w:tc>
        <w:tc>
          <w:tcPr>
            <w:tcW w:w="3492" w:type="dx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12.0</w:t>
            </w:r>
          </w:p>
        </w:tc>
      </w:tr>
      <w:tr w:rsidR="00E80C12" w:rsidTr="00211B0A">
        <w:tc>
          <w:tcPr>
            <w:tcW w:w="1980" w:type="dxa"/>
            <w:shd w:val="clear" w:color="auto" w:fill="EAEDF1" w:themeFill="text2" w:themeFillTint="1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2017</w:t>
            </w:r>
          </w:p>
        </w:tc>
        <w:tc>
          <w:tcPr>
            <w:tcW w:w="3544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57.8</w:t>
            </w:r>
          </w:p>
        </w:tc>
        <w:tc>
          <w:tcPr>
            <w:tcW w:w="349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20.3</w:t>
            </w:r>
          </w:p>
        </w:tc>
      </w:tr>
      <w:tr w:rsidR="00E80C12" w:rsidTr="00211B0A">
        <w:tc>
          <w:tcPr>
            <w:tcW w:w="1980" w:type="dxa"/>
            <w:shd w:val="clear" w:color="auto" w:fill="auto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2018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59.3</w:t>
            </w:r>
          </w:p>
        </w:tc>
        <w:tc>
          <w:tcPr>
            <w:tcW w:w="3492" w:type="dx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18.5</w:t>
            </w:r>
          </w:p>
        </w:tc>
      </w:tr>
      <w:tr w:rsidR="00E80C12" w:rsidTr="00211B0A">
        <w:tc>
          <w:tcPr>
            <w:tcW w:w="1980" w:type="dxa"/>
            <w:shd w:val="clear" w:color="auto" w:fill="EAEDF1" w:themeFill="text2" w:themeFillTint="1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2019</w:t>
            </w:r>
          </w:p>
        </w:tc>
        <w:tc>
          <w:tcPr>
            <w:tcW w:w="3544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47.4</w:t>
            </w:r>
          </w:p>
        </w:tc>
        <w:tc>
          <w:tcPr>
            <w:tcW w:w="349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28.1</w:t>
            </w:r>
          </w:p>
        </w:tc>
      </w:tr>
      <w:tr w:rsidR="00E80C12" w:rsidTr="00211B0A">
        <w:tc>
          <w:tcPr>
            <w:tcW w:w="1980" w:type="dxa"/>
            <w:shd w:val="clear" w:color="auto" w:fill="auto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2020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40.9</w:t>
            </w:r>
          </w:p>
        </w:tc>
        <w:tc>
          <w:tcPr>
            <w:tcW w:w="3492" w:type="dx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37.9</w:t>
            </w:r>
          </w:p>
        </w:tc>
      </w:tr>
      <w:tr w:rsidR="00E80C12" w:rsidTr="00211B0A">
        <w:tc>
          <w:tcPr>
            <w:tcW w:w="1980" w:type="dxa"/>
            <w:shd w:val="clear" w:color="auto" w:fill="EAEDF1" w:themeFill="text2" w:themeFillTint="1A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2021</w:t>
            </w:r>
          </w:p>
        </w:tc>
        <w:tc>
          <w:tcPr>
            <w:tcW w:w="3544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32.6</w:t>
            </w:r>
          </w:p>
        </w:tc>
        <w:tc>
          <w:tcPr>
            <w:tcW w:w="349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30.4</w:t>
            </w:r>
          </w:p>
        </w:tc>
      </w:tr>
      <w:tr w:rsidR="00E80C12" w:rsidTr="00211B0A">
        <w:tc>
          <w:tcPr>
            <w:tcW w:w="1980" w:type="dxa"/>
            <w:shd w:val="clear" w:color="auto" w:fill="auto"/>
          </w:tcPr>
          <w:p w:rsidR="00E80C12" w:rsidRPr="001217DC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 w:rsidRPr="001217DC">
              <w:rPr>
                <w:rFonts w:ascii="Calibri" w:hAnsi="Calibri" w:cs="Calibri"/>
                <w:b/>
                <w:bCs/>
                <w:lang w:val="en-GB"/>
              </w:rPr>
              <w:t>2022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47.8</w:t>
            </w:r>
          </w:p>
        </w:tc>
        <w:tc>
          <w:tcPr>
            <w:tcW w:w="3492" w:type="dxa"/>
            <w:vAlign w:val="center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37.0</w:t>
            </w:r>
          </w:p>
        </w:tc>
      </w:tr>
    </w:tbl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</w:p>
    <w:p w:rsidR="00E80C12" w:rsidRDefault="00E80C12" w:rsidP="00E80C12">
      <w:pPr>
        <w:rPr>
          <w:rFonts w:ascii="Calibri" w:eastAsia="Times New Roman" w:hAnsi="Calibri" w:cs="Calibri"/>
          <w:i/>
          <w:iCs/>
          <w:kern w:val="0"/>
          <w:lang w:val="en-GB" w:eastAsia="en-GB"/>
          <w14:ligatures w14:val="none"/>
        </w:rPr>
      </w:pPr>
      <w:r>
        <w:rPr>
          <w:rFonts w:ascii="Calibri" w:hAnsi="Calibri" w:cs="Calibri"/>
          <w:i/>
          <w:iCs/>
          <w:lang w:val="en-GB"/>
        </w:rPr>
        <w:br w:type="page"/>
      </w: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  <w:r w:rsidRPr="007E2051">
        <w:rPr>
          <w:rFonts w:ascii="Calibri" w:hAnsi="Calibri" w:cs="Calibri"/>
          <w:i/>
          <w:iCs/>
          <w:lang w:val="en-GB"/>
        </w:rPr>
        <w:lastRenderedPageBreak/>
        <w:t xml:space="preserve">Supplementary </w:t>
      </w:r>
      <w:r>
        <w:rPr>
          <w:rFonts w:ascii="Calibri" w:hAnsi="Calibri" w:cs="Calibri"/>
          <w:i/>
          <w:iCs/>
          <w:lang w:val="en-GB"/>
        </w:rPr>
        <w:t>T</w:t>
      </w:r>
      <w:r w:rsidRPr="007E2051">
        <w:rPr>
          <w:rFonts w:ascii="Calibri" w:hAnsi="Calibri" w:cs="Calibri"/>
          <w:i/>
          <w:iCs/>
          <w:lang w:val="en-GB"/>
        </w:rPr>
        <w:t xml:space="preserve">able </w:t>
      </w:r>
      <w:r>
        <w:rPr>
          <w:rFonts w:ascii="Calibri" w:hAnsi="Calibri" w:cs="Calibri"/>
          <w:i/>
          <w:iCs/>
          <w:lang w:val="en-GB"/>
        </w:rPr>
        <w:t>3</w:t>
      </w:r>
      <w:r w:rsidRPr="007E2051">
        <w:rPr>
          <w:rFonts w:ascii="Calibri" w:hAnsi="Calibri" w:cs="Calibri"/>
          <w:i/>
          <w:iCs/>
          <w:lang w:val="en-GB"/>
        </w:rPr>
        <w:t>. Variance inflation factor calculations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80C12" w:rsidRPr="00FE0419" w:rsidTr="00211B0A">
        <w:tc>
          <w:tcPr>
            <w:tcW w:w="4508" w:type="dxa"/>
            <w:shd w:val="clear" w:color="auto" w:fill="CBD3DE" w:themeFill="text2" w:themeFillTint="40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508" w:type="dxa"/>
            <w:shd w:val="clear" w:color="auto" w:fill="CBD3DE" w:themeFill="text2" w:themeFillTint="40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GVIF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Interval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1.11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Age (years)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1.07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Sex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1.04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BMI categories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1.01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CKD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1.06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3VD and/or left main stenosis 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1.02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LVEF ≤35%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1.02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Haemoglobin (g/L)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1.06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Clopidogrel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1.04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Aspirin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1.14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Heparins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1.02</w:t>
            </w:r>
          </w:p>
        </w:tc>
      </w:tr>
      <w:tr w:rsidR="00E80C12" w:rsidRPr="00FE0419" w:rsidTr="00211B0A"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Emergency operation</w:t>
            </w:r>
          </w:p>
        </w:tc>
        <w:tc>
          <w:tcPr>
            <w:tcW w:w="4508" w:type="dxa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1.04</w:t>
            </w:r>
          </w:p>
        </w:tc>
      </w:tr>
      <w:tr w:rsidR="00E80C12" w:rsidRPr="00FE0419" w:rsidTr="00211B0A">
        <w:tc>
          <w:tcPr>
            <w:tcW w:w="4508" w:type="dxa"/>
            <w:shd w:val="clear" w:color="auto" w:fill="EAEDF1" w:themeFill="text2" w:themeFillTint="1A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CPB time categories*</w:t>
            </w:r>
          </w:p>
        </w:tc>
        <w:tc>
          <w:tcPr>
            <w:tcW w:w="4508" w:type="dxa"/>
            <w:shd w:val="clear" w:color="auto" w:fill="EAEDF1" w:themeFill="text2" w:themeFillTint="1A"/>
          </w:tcPr>
          <w:p w:rsidR="00E80C12" w:rsidRDefault="00E80C12" w:rsidP="00211B0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1.04</w:t>
            </w:r>
          </w:p>
        </w:tc>
      </w:tr>
    </w:tbl>
    <w:p w:rsidR="00E80C12" w:rsidRPr="00FE0419" w:rsidRDefault="00E80C12" w:rsidP="00E80C12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FE0419">
        <w:rPr>
          <w:rFonts w:ascii="Calibri" w:hAnsi="Calibri" w:cs="Calibri"/>
          <w:sz w:val="22"/>
          <w:szCs w:val="22"/>
          <w:lang w:val="en-GB"/>
        </w:rPr>
        <w:t xml:space="preserve">Abbreviations: BMI, body mass index; CKD, chronic kidney disease; </w:t>
      </w:r>
      <w:r>
        <w:rPr>
          <w:rFonts w:ascii="Calibri" w:hAnsi="Calibri" w:cs="Calibri"/>
          <w:sz w:val="22"/>
          <w:szCs w:val="22"/>
          <w:lang w:val="en-GB"/>
        </w:rPr>
        <w:t xml:space="preserve">VD, vessel disease; </w:t>
      </w:r>
      <w:r w:rsidRPr="00FE0419">
        <w:rPr>
          <w:rFonts w:ascii="Calibri" w:hAnsi="Calibri" w:cs="Calibri"/>
          <w:sz w:val="22"/>
          <w:szCs w:val="22"/>
          <w:lang w:val="en-GB"/>
        </w:rPr>
        <w:t>LVEF, left ventricular ejection fraction</w:t>
      </w:r>
      <w:r>
        <w:rPr>
          <w:rFonts w:ascii="Calibri" w:hAnsi="Calibri" w:cs="Calibri"/>
          <w:sz w:val="22"/>
          <w:szCs w:val="22"/>
          <w:lang w:val="en-GB"/>
        </w:rPr>
        <w:t>.</w:t>
      </w:r>
    </w:p>
    <w:p w:rsidR="00E80C12" w:rsidRPr="00FE0419" w:rsidRDefault="00E80C12" w:rsidP="00E80C12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FE0419">
        <w:rPr>
          <w:rFonts w:ascii="Calibri" w:hAnsi="Calibri" w:cs="Calibri"/>
          <w:sz w:val="22"/>
          <w:szCs w:val="22"/>
          <w:lang w:val="en-GB"/>
        </w:rPr>
        <w:t>*Categorical variable with values OPCAB, 0-120min and &gt;120min.</w:t>
      </w:r>
    </w:p>
    <w:p w:rsidR="00E80C12" w:rsidRDefault="00E80C12" w:rsidP="00E80C12">
      <w:pPr>
        <w:rPr>
          <w:rFonts w:ascii="Calibri" w:eastAsia="Times New Roman" w:hAnsi="Calibri" w:cs="Calibri"/>
          <w:i/>
          <w:iCs/>
          <w:kern w:val="0"/>
          <w:highlight w:val="yellow"/>
          <w:lang w:val="en-GB" w:eastAsia="en-GB"/>
          <w14:ligatures w14:val="none"/>
        </w:rPr>
      </w:pPr>
      <w:r>
        <w:rPr>
          <w:rFonts w:ascii="Calibri" w:hAnsi="Calibri" w:cs="Calibri"/>
          <w:i/>
          <w:iCs/>
          <w:highlight w:val="yellow"/>
          <w:lang w:val="en-GB"/>
        </w:rPr>
        <w:br w:type="page"/>
      </w: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  <w:r w:rsidRPr="009C17AF">
        <w:rPr>
          <w:rFonts w:ascii="Calibri" w:hAnsi="Calibri" w:cs="Calibri"/>
          <w:i/>
          <w:iCs/>
          <w:lang w:val="en-GB"/>
        </w:rPr>
        <w:lastRenderedPageBreak/>
        <w:t>Supplementary Table 4. Multivariable logistic regression analysis with interaction terms.</w:t>
      </w:r>
      <w:r>
        <w:rPr>
          <w:rFonts w:ascii="Calibri" w:hAnsi="Calibri" w:cs="Calibri"/>
          <w:i/>
          <w:iCs/>
          <w:lang w:val="en-GB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80C12" w:rsidRPr="00FE0419" w:rsidTr="00211B0A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BD3DE" w:themeFill="text2" w:themeFillTint="40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BD3DE" w:themeFill="text2" w:themeFillTint="40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OR (95% CI)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BD3DE" w:themeFill="text2" w:themeFillTint="40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p-value</w:t>
            </w:r>
          </w:p>
        </w:tc>
      </w:tr>
      <w:tr w:rsidR="00E80C12" w:rsidRPr="00FE0419" w:rsidTr="00211B0A">
        <w:tc>
          <w:tcPr>
            <w:tcW w:w="3005" w:type="dxa"/>
            <w:tcBorders>
              <w:top w:val="single" w:sz="4" w:space="0" w:color="auto"/>
            </w:tcBorders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Interval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  2005-2010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 (Reference)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  2011-2016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0.31 (0.23–0.4</w:t>
            </w:r>
            <w:r>
              <w:rPr>
                <w:rFonts w:ascii="Calibri" w:hAnsi="Calibri" w:cs="Calibri"/>
                <w:lang w:val="en-GB"/>
              </w:rPr>
              <w:t>1</w:t>
            </w:r>
            <w:r w:rsidRPr="00FE0419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  2017-2022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0.</w:t>
            </w:r>
            <w:r>
              <w:rPr>
                <w:rFonts w:ascii="Calibri" w:hAnsi="Calibri" w:cs="Calibri"/>
                <w:lang w:val="en-GB"/>
              </w:rPr>
              <w:t>16</w:t>
            </w:r>
            <w:r w:rsidRPr="00FE0419">
              <w:rPr>
                <w:rFonts w:ascii="Calibri" w:hAnsi="Calibri" w:cs="Calibri"/>
                <w:lang w:val="en-GB"/>
              </w:rPr>
              <w:t xml:space="preserve"> (0.1</w:t>
            </w:r>
            <w:r>
              <w:rPr>
                <w:rFonts w:ascii="Calibri" w:hAnsi="Calibri" w:cs="Calibri"/>
                <w:lang w:val="en-GB"/>
              </w:rPr>
              <w:t>1</w:t>
            </w:r>
            <w:r w:rsidRPr="00FE0419">
              <w:rPr>
                <w:rFonts w:ascii="Calibri" w:hAnsi="Calibri" w:cs="Calibri"/>
                <w:lang w:val="en-GB"/>
              </w:rPr>
              <w:t>–0.</w:t>
            </w:r>
            <w:r>
              <w:rPr>
                <w:rFonts w:ascii="Calibri" w:hAnsi="Calibri" w:cs="Calibri"/>
                <w:lang w:val="en-GB"/>
              </w:rPr>
              <w:t>23</w:t>
            </w:r>
            <w:r w:rsidRPr="00FE0419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Age (per year)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1.03 (1.02–1.0</w:t>
            </w:r>
            <w:r>
              <w:rPr>
                <w:rFonts w:ascii="Calibri" w:hAnsi="Calibri" w:cs="Calibri"/>
                <w:lang w:val="en-GB"/>
              </w:rPr>
              <w:t>4</w:t>
            </w:r>
            <w:r w:rsidRPr="00FE0419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Female sex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3.89</w:t>
            </w:r>
            <w:r w:rsidRPr="00FE0419">
              <w:rPr>
                <w:rFonts w:ascii="Calibri" w:hAnsi="Calibri" w:cs="Calibri"/>
                <w:lang w:val="en-GB"/>
              </w:rPr>
              <w:t xml:space="preserve"> (</w:t>
            </w:r>
            <w:r>
              <w:rPr>
                <w:rFonts w:ascii="Calibri" w:hAnsi="Calibri" w:cs="Calibri"/>
                <w:lang w:val="en-GB"/>
              </w:rPr>
              <w:t>2.56</w:t>
            </w:r>
            <w:r w:rsidRPr="00FE0419">
              <w:rPr>
                <w:rFonts w:ascii="Calibri" w:hAnsi="Calibri" w:cs="Calibri"/>
                <w:lang w:val="en-GB"/>
              </w:rPr>
              <w:t>–</w:t>
            </w:r>
            <w:r>
              <w:rPr>
                <w:rFonts w:ascii="Calibri" w:hAnsi="Calibri" w:cs="Calibri"/>
                <w:lang w:val="en-GB"/>
              </w:rPr>
              <w:t>6.04</w:t>
            </w:r>
            <w:r w:rsidRPr="00FE0419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BMI </w:t>
            </w:r>
            <w:r>
              <w:rPr>
                <w:rFonts w:ascii="Calibri" w:hAnsi="Calibri" w:cs="Calibri"/>
                <w:b/>
                <w:bCs/>
                <w:lang w:val="en-GB"/>
              </w:rPr>
              <w:t>categories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0.007</w:t>
            </w:r>
          </w:p>
        </w:tc>
      </w:tr>
      <w:tr w:rsidR="00E80C12" w:rsidRPr="000F7212" w:rsidTr="00211B0A">
        <w:tc>
          <w:tcPr>
            <w:tcW w:w="30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Underweight 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3.39 (1.25-10.95)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AD0CD6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AD0CD6">
              <w:rPr>
                <w:rFonts w:ascii="Calibri" w:hAnsi="Calibri" w:cs="Calibri"/>
                <w:b/>
                <w:bCs/>
                <w:lang w:val="en-GB"/>
              </w:rPr>
              <w:t>0.025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Normal weight 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 (Reference)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Overweight 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0.71 (0.51-0.98)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0.039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Obesity class I 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0.55 (0.38-0.78)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0.001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Obesity class II 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0.50 (0.30-0.82)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0.006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Obesity class III 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0.36 (0.16-0.82)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0.014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CKD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1.</w:t>
            </w:r>
            <w:r>
              <w:rPr>
                <w:rFonts w:ascii="Calibri" w:hAnsi="Calibri" w:cs="Calibri"/>
                <w:lang w:val="en-GB"/>
              </w:rPr>
              <w:t>66</w:t>
            </w:r>
            <w:r w:rsidRPr="00FE0419">
              <w:rPr>
                <w:rFonts w:ascii="Calibri" w:hAnsi="Calibri" w:cs="Calibri"/>
                <w:lang w:val="en-GB"/>
              </w:rPr>
              <w:t xml:space="preserve"> (1.2</w:t>
            </w:r>
            <w:r>
              <w:rPr>
                <w:rFonts w:ascii="Calibri" w:hAnsi="Calibri" w:cs="Calibri"/>
                <w:lang w:val="en-GB"/>
              </w:rPr>
              <w:t>1</w:t>
            </w:r>
            <w:r w:rsidRPr="00FE0419">
              <w:rPr>
                <w:rFonts w:ascii="Calibri" w:hAnsi="Calibri" w:cs="Calibri"/>
                <w:lang w:val="en-GB"/>
              </w:rPr>
              <w:t>–2.</w:t>
            </w:r>
            <w:r>
              <w:rPr>
                <w:rFonts w:ascii="Calibri" w:hAnsi="Calibri" w:cs="Calibri"/>
                <w:lang w:val="en-GB"/>
              </w:rPr>
              <w:t>31</w:t>
            </w:r>
            <w:r w:rsidRPr="00FE0419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0.00</w:t>
            </w:r>
            <w:r>
              <w:rPr>
                <w:rFonts w:ascii="Calibri" w:hAnsi="Calibri" w:cs="Calibri"/>
                <w:b/>
                <w:bCs/>
                <w:lang w:val="en-GB"/>
              </w:rPr>
              <w:t>2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3VD and/or left main stenosis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2.</w:t>
            </w:r>
            <w:r>
              <w:rPr>
                <w:rFonts w:ascii="Calibri" w:hAnsi="Calibri" w:cs="Calibri"/>
                <w:lang w:val="en-GB"/>
              </w:rPr>
              <w:t>22</w:t>
            </w:r>
            <w:r w:rsidRPr="00FE0419">
              <w:rPr>
                <w:rFonts w:ascii="Calibri" w:hAnsi="Calibri" w:cs="Calibri"/>
                <w:lang w:val="en-GB"/>
              </w:rPr>
              <w:t xml:space="preserve"> (1.</w:t>
            </w:r>
            <w:r>
              <w:rPr>
                <w:rFonts w:ascii="Calibri" w:hAnsi="Calibri" w:cs="Calibri"/>
                <w:lang w:val="en-GB"/>
              </w:rPr>
              <w:t>56</w:t>
            </w:r>
            <w:r w:rsidRPr="00FE0419">
              <w:rPr>
                <w:rFonts w:ascii="Calibri" w:hAnsi="Calibri" w:cs="Calibri"/>
                <w:lang w:val="en-GB"/>
              </w:rPr>
              <w:t>–3.</w:t>
            </w:r>
            <w:r>
              <w:rPr>
                <w:rFonts w:ascii="Calibri" w:hAnsi="Calibri" w:cs="Calibri"/>
                <w:lang w:val="en-GB"/>
              </w:rPr>
              <w:t>16</w:t>
            </w:r>
            <w:r w:rsidRPr="00FE0419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LVEF ≤35% 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1.8</w:t>
            </w:r>
            <w:r>
              <w:rPr>
                <w:rFonts w:ascii="Calibri" w:hAnsi="Calibri" w:cs="Calibri"/>
                <w:lang w:val="en-GB"/>
              </w:rPr>
              <w:t xml:space="preserve">1 </w:t>
            </w:r>
            <w:r w:rsidRPr="00FE0419">
              <w:rPr>
                <w:rFonts w:ascii="Calibri" w:hAnsi="Calibri" w:cs="Calibri"/>
                <w:lang w:val="en-GB"/>
              </w:rPr>
              <w:t>(1.1</w:t>
            </w:r>
            <w:r>
              <w:rPr>
                <w:rFonts w:ascii="Calibri" w:hAnsi="Calibri" w:cs="Calibri"/>
                <w:lang w:val="en-GB"/>
              </w:rPr>
              <w:t>5</w:t>
            </w:r>
            <w:r w:rsidRPr="00FE0419">
              <w:rPr>
                <w:rFonts w:ascii="Calibri" w:hAnsi="Calibri" w:cs="Calibri"/>
                <w:lang w:val="en-GB"/>
              </w:rPr>
              <w:t>–</w:t>
            </w:r>
            <w:r>
              <w:rPr>
                <w:rFonts w:ascii="Calibri" w:hAnsi="Calibri" w:cs="Calibri"/>
                <w:lang w:val="en-GB"/>
              </w:rPr>
              <w:t>2.88</w:t>
            </w:r>
            <w:r w:rsidRPr="00FE0419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0.01</w:t>
            </w:r>
            <w:r>
              <w:rPr>
                <w:rFonts w:ascii="Calibri" w:hAnsi="Calibri" w:cs="Calibri"/>
                <w:b/>
                <w:bCs/>
                <w:lang w:val="en-GB"/>
              </w:rPr>
              <w:t>1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Haemoglobin (per g/L)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0.96 (0.95–0.97)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Clopidogrel within five days before surgery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1.62 (0.89–2.99)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AD0CD6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AD0CD6">
              <w:rPr>
                <w:rFonts w:ascii="Calibri" w:hAnsi="Calibri" w:cs="Calibri"/>
                <w:lang w:val="en-GB"/>
              </w:rPr>
              <w:t>0.114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Aspirin until surgery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1.02 (0.78–1.32)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AD0CD6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AD0CD6">
              <w:rPr>
                <w:rFonts w:ascii="Calibri" w:hAnsi="Calibri" w:cs="Calibri"/>
                <w:lang w:val="en-GB"/>
              </w:rPr>
              <w:t>0.908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Heparins until surgery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1.17 (0.94–1.47)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AD0CD6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AD0CD6">
              <w:rPr>
                <w:rFonts w:ascii="Calibri" w:hAnsi="Calibri" w:cs="Calibri"/>
                <w:lang w:val="en-GB"/>
              </w:rPr>
              <w:t>0.165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Emergency operation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2.29 (1.13–4.94)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0.027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CPB time categories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lang w:val="en-GB"/>
              </w:rPr>
              <w:t>CPB 0 min (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>OPCAB</w:t>
            </w:r>
            <w:r>
              <w:rPr>
                <w:rFonts w:ascii="Calibri" w:hAnsi="Calibri" w:cs="Calibri"/>
                <w:b/>
                <w:bCs/>
                <w:lang w:val="en-GB"/>
              </w:rPr>
              <w:t>)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0.81 (0.58–1.14)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AD0CD6">
              <w:rPr>
                <w:rFonts w:ascii="Calibri" w:hAnsi="Calibri" w:cs="Calibri"/>
                <w:lang w:val="en-GB"/>
              </w:rPr>
              <w:t>0.230</w:t>
            </w:r>
          </w:p>
        </w:tc>
      </w:tr>
      <w:tr w:rsidR="00E80C12" w:rsidRPr="00FE0419" w:rsidTr="00211B0A">
        <w:tc>
          <w:tcPr>
            <w:tcW w:w="30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  CPB ≤120 min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 (Reference)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E80C12" w:rsidRPr="00FE0419" w:rsidTr="00211B0A">
        <w:tc>
          <w:tcPr>
            <w:tcW w:w="30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  CPB &gt;120 min</w:t>
            </w:r>
          </w:p>
        </w:tc>
        <w:tc>
          <w:tcPr>
            <w:tcW w:w="3005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3.13 (2.21–4.49)</w:t>
            </w:r>
          </w:p>
        </w:tc>
        <w:tc>
          <w:tcPr>
            <w:tcW w:w="3006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</w:tbl>
    <w:p w:rsidR="00E80C12" w:rsidRPr="00FE0419" w:rsidRDefault="00E80C12" w:rsidP="00E80C12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FE0419">
        <w:rPr>
          <w:rFonts w:ascii="Calibri" w:hAnsi="Calibri" w:cs="Calibri"/>
          <w:sz w:val="22"/>
          <w:szCs w:val="22"/>
          <w:lang w:val="en-GB"/>
        </w:rPr>
        <w:t xml:space="preserve">Abbreviations: OR, odds ratio; CI, confidence interval; BMI, body mass index; CKD, chronic kidney disease; </w:t>
      </w:r>
      <w:r>
        <w:rPr>
          <w:rFonts w:ascii="Calibri" w:hAnsi="Calibri" w:cs="Calibri"/>
          <w:sz w:val="22"/>
          <w:szCs w:val="22"/>
          <w:lang w:val="en-GB"/>
        </w:rPr>
        <w:t xml:space="preserve">VD, vessel disease; </w:t>
      </w:r>
      <w:r w:rsidRPr="00FE0419">
        <w:rPr>
          <w:rFonts w:ascii="Calibri" w:hAnsi="Calibri" w:cs="Calibri"/>
          <w:sz w:val="22"/>
          <w:szCs w:val="22"/>
          <w:lang w:val="en-GB"/>
        </w:rPr>
        <w:t xml:space="preserve">LVEF, left ventricular ejection fraction; CPB, cardiopulmonary bypass; OPCAB, off-pump coronary artery bypass. </w:t>
      </w:r>
      <w:r>
        <w:rPr>
          <w:rFonts w:ascii="Calibri" w:hAnsi="Calibri" w:cs="Calibri"/>
          <w:sz w:val="22"/>
          <w:szCs w:val="22"/>
          <w:lang w:val="en-GB"/>
        </w:rPr>
        <w:t>Bold p-values indicate statistically significant differences.</w:t>
      </w: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</w:p>
    <w:p w:rsidR="00E80C12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</w:p>
    <w:p w:rsidR="00E80C12" w:rsidRPr="00FE0419" w:rsidRDefault="00E80C12" w:rsidP="00E80C12">
      <w:pPr>
        <w:pStyle w:val="NormalWeb"/>
        <w:spacing w:after="80" w:afterAutospacing="0"/>
        <w:rPr>
          <w:rFonts w:ascii="Calibri" w:hAnsi="Calibri" w:cs="Calibri"/>
          <w:i/>
          <w:iCs/>
          <w:lang w:val="en-GB"/>
        </w:rPr>
      </w:pPr>
      <w:r w:rsidRPr="00FE0419">
        <w:rPr>
          <w:rFonts w:ascii="Calibri" w:hAnsi="Calibri" w:cs="Calibri"/>
          <w:i/>
          <w:iCs/>
          <w:lang w:val="en-GB"/>
        </w:rPr>
        <w:lastRenderedPageBreak/>
        <w:t xml:space="preserve">Supplementary </w:t>
      </w:r>
      <w:r>
        <w:rPr>
          <w:rFonts w:ascii="Calibri" w:hAnsi="Calibri" w:cs="Calibri"/>
          <w:i/>
          <w:iCs/>
          <w:lang w:val="en-GB"/>
        </w:rPr>
        <w:t>T</w:t>
      </w:r>
      <w:r w:rsidRPr="00FE0419">
        <w:rPr>
          <w:rFonts w:ascii="Calibri" w:hAnsi="Calibri" w:cs="Calibri"/>
          <w:i/>
          <w:iCs/>
          <w:lang w:val="en-GB"/>
        </w:rPr>
        <w:t xml:space="preserve">able </w:t>
      </w:r>
      <w:r>
        <w:rPr>
          <w:rFonts w:ascii="Calibri" w:hAnsi="Calibri" w:cs="Calibri"/>
          <w:i/>
          <w:iCs/>
          <w:lang w:val="en-GB"/>
        </w:rPr>
        <w:t>5</w:t>
      </w:r>
      <w:r w:rsidRPr="00FE0419">
        <w:rPr>
          <w:rFonts w:ascii="Calibri" w:hAnsi="Calibri" w:cs="Calibri"/>
          <w:i/>
          <w:iCs/>
          <w:lang w:val="en-GB"/>
        </w:rPr>
        <w:t xml:space="preserve">. Comparison across intervals.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1842"/>
        <w:gridCol w:w="1083"/>
      </w:tblGrid>
      <w:tr w:rsidR="00E80C12" w:rsidRPr="00FE0419" w:rsidTr="00211B0A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BD3DE" w:themeFill="text2" w:themeFillTint="40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BD3DE" w:themeFill="text2" w:themeFillTint="40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2005-2010</w:t>
            </w:r>
          </w:p>
          <w:p w:rsidR="00E80C12" w:rsidRPr="00FE0419" w:rsidRDefault="00E80C12" w:rsidP="00211B0A">
            <w:pPr>
              <w:pStyle w:val="NormalWeb"/>
              <w:spacing w:before="0" w:beforeAutospacing="0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(n=853)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BD3DE" w:themeFill="text2" w:themeFillTint="40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2011-2016</w:t>
            </w:r>
          </w:p>
          <w:p w:rsidR="00E80C12" w:rsidRPr="00FE0419" w:rsidRDefault="00E80C12" w:rsidP="00211B0A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(n=664)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CBD3DE" w:themeFill="text2" w:themeFillTint="40"/>
            <w:vAlign w:val="center"/>
          </w:tcPr>
          <w:p w:rsidR="00E80C12" w:rsidRPr="00FE0419" w:rsidRDefault="00E80C12" w:rsidP="00211B0A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2017-2022</w:t>
            </w:r>
          </w:p>
          <w:p w:rsidR="00E80C12" w:rsidRPr="00FE0419" w:rsidRDefault="00E80C12" w:rsidP="00211B0A">
            <w:pPr>
              <w:pStyle w:val="NormalWeb"/>
              <w:spacing w:before="0" w:beforeAutospacing="0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(n=333)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CBD3DE" w:themeFill="text2" w:themeFillTint="40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p-value</w:t>
            </w:r>
          </w:p>
        </w:tc>
      </w:tr>
      <w:tr w:rsidR="00E80C12" w:rsidRPr="00FE0419" w:rsidTr="00211B0A">
        <w:tc>
          <w:tcPr>
            <w:tcW w:w="2405" w:type="dxa"/>
            <w:tcBorders>
              <w:top w:val="single" w:sz="4" w:space="0" w:color="auto"/>
            </w:tcBorders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Age </w:t>
            </w:r>
            <w:r>
              <w:rPr>
                <w:rFonts w:ascii="Calibri" w:hAnsi="Calibri" w:cs="Calibri"/>
                <w:b/>
                <w:bCs/>
                <w:lang w:val="en-GB"/>
              </w:rPr>
              <w:t>(years)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67 [60, 73]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67 [61, 73]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68 [63, 74]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0.005</w:t>
            </w:r>
          </w:p>
        </w:tc>
      </w:tr>
      <w:tr w:rsidR="00E80C12" w:rsidRPr="00FE0419" w:rsidTr="00211B0A">
        <w:tc>
          <w:tcPr>
            <w:tcW w:w="2405" w:type="dx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Female sex</w:t>
            </w:r>
          </w:p>
        </w:tc>
        <w:tc>
          <w:tcPr>
            <w:tcW w:w="1843" w:type="dx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139 (16.3)</w:t>
            </w:r>
          </w:p>
        </w:tc>
        <w:tc>
          <w:tcPr>
            <w:tcW w:w="1843" w:type="dx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108 (16.3)</w:t>
            </w:r>
          </w:p>
        </w:tc>
        <w:tc>
          <w:tcPr>
            <w:tcW w:w="1842" w:type="dx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51 (15.3)</w:t>
            </w:r>
          </w:p>
        </w:tc>
        <w:tc>
          <w:tcPr>
            <w:tcW w:w="1083" w:type="dx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0.910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BMI </w:t>
            </w:r>
            <w:r>
              <w:rPr>
                <w:rFonts w:ascii="Calibri" w:hAnsi="Calibri" w:cs="Calibri"/>
                <w:b/>
                <w:bCs/>
                <w:lang w:val="en-GB"/>
              </w:rPr>
              <w:t>categories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842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08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0.037</w:t>
            </w:r>
          </w:p>
        </w:tc>
      </w:tr>
      <w:tr w:rsidR="00E80C12" w:rsidRPr="00FE0419" w:rsidTr="00211B0A">
        <w:tc>
          <w:tcPr>
            <w:tcW w:w="2405" w:type="dx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Underweight </w:t>
            </w:r>
          </w:p>
        </w:tc>
        <w:tc>
          <w:tcPr>
            <w:tcW w:w="1843" w:type="dx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4 (0.5)</w:t>
            </w:r>
          </w:p>
        </w:tc>
        <w:tc>
          <w:tcPr>
            <w:tcW w:w="1843" w:type="dx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4 (0.6)</w:t>
            </w:r>
          </w:p>
        </w:tc>
        <w:tc>
          <w:tcPr>
            <w:tcW w:w="1842" w:type="dx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 (0.3)</w:t>
            </w:r>
          </w:p>
        </w:tc>
        <w:tc>
          <w:tcPr>
            <w:tcW w:w="1083" w:type="dx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E80C12" w:rsidRPr="00FE0419" w:rsidTr="00211B0A">
        <w:tc>
          <w:tcPr>
            <w:tcW w:w="24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Normal weight 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173 (20.7)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116 (18.6)</w:t>
            </w:r>
          </w:p>
        </w:tc>
        <w:tc>
          <w:tcPr>
            <w:tcW w:w="1842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45 (14.1)</w:t>
            </w:r>
          </w:p>
        </w:tc>
        <w:tc>
          <w:tcPr>
            <w:tcW w:w="108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E80C12" w:rsidRPr="00FE0419" w:rsidTr="00211B0A">
        <w:tc>
          <w:tcPr>
            <w:tcW w:w="24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Overweight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413 (49.4)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307 (49.1)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146 (45.6)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E80C12" w:rsidRPr="00FE0419" w:rsidTr="00211B0A">
        <w:tc>
          <w:tcPr>
            <w:tcW w:w="24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Obesity class I 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188 (22.5)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137 (21.9)</w:t>
            </w:r>
          </w:p>
        </w:tc>
        <w:tc>
          <w:tcPr>
            <w:tcW w:w="1842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90 (28.1)</w:t>
            </w:r>
          </w:p>
        </w:tc>
        <w:tc>
          <w:tcPr>
            <w:tcW w:w="108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80C12" w:rsidRPr="00FE0419" w:rsidTr="00211B0A">
        <w:tc>
          <w:tcPr>
            <w:tcW w:w="24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Obesity class II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46 (5.5)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48 (7.7)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27 (8.4)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E80C12" w:rsidRPr="00FE0419" w:rsidTr="00211B0A">
        <w:tc>
          <w:tcPr>
            <w:tcW w:w="24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   Obesity class III 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12 (1.4)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13 (2.1)</w:t>
            </w:r>
          </w:p>
        </w:tc>
        <w:tc>
          <w:tcPr>
            <w:tcW w:w="1842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11 (3.4)</w:t>
            </w:r>
          </w:p>
        </w:tc>
        <w:tc>
          <w:tcPr>
            <w:tcW w:w="108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E80C12" w:rsidRPr="00FE0419" w:rsidTr="00211B0A">
        <w:tc>
          <w:tcPr>
            <w:tcW w:w="24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CKD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133 (15.9)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141 (21.3)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101 (30.3)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3VD </w:t>
            </w:r>
            <w:r>
              <w:rPr>
                <w:rFonts w:ascii="Calibri" w:hAnsi="Calibri" w:cs="Calibri"/>
                <w:b/>
                <w:bCs/>
                <w:lang w:val="en-GB"/>
              </w:rPr>
              <w:t>and/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>or left main stenosis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771 (90.4)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562 (84.6)</w:t>
            </w:r>
          </w:p>
        </w:tc>
        <w:tc>
          <w:tcPr>
            <w:tcW w:w="1842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303 (91.0)</w:t>
            </w:r>
          </w:p>
        </w:tc>
        <w:tc>
          <w:tcPr>
            <w:tcW w:w="108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0.001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LVEF ≤35%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40 (4.9)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58 (9.0)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38 (11.6)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Haemoglobin (g/L)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143 [131, 151]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142 [133, 151]</w:t>
            </w:r>
          </w:p>
        </w:tc>
        <w:tc>
          <w:tcPr>
            <w:tcW w:w="1842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142 [131, 151]</w:t>
            </w:r>
          </w:p>
        </w:tc>
        <w:tc>
          <w:tcPr>
            <w:tcW w:w="108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0.787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auto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Aspirin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324 (38.4)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539 (81.3)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270 (81.1)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EAEDF1" w:themeFill="text2" w:themeFillTint="1A"/>
          </w:tcPr>
          <w:p w:rsidR="00E80C12" w:rsidRPr="00FE0419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Clopidogrel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24 (2.8)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45 (6.8)</w:t>
            </w:r>
          </w:p>
        </w:tc>
        <w:tc>
          <w:tcPr>
            <w:tcW w:w="1842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38 (11.4)</w:t>
            </w:r>
          </w:p>
        </w:tc>
        <w:tc>
          <w:tcPr>
            <w:tcW w:w="1083" w:type="dxa"/>
            <w:shd w:val="clear" w:color="auto" w:fill="EAEDF1" w:themeFill="text2" w:themeFillTint="1A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auto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Emergency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operation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41 (4.8)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51 (7.7)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18 (5.4)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80C12" w:rsidRPr="00FE0419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0.057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EAEDF1" w:themeFill="text2" w:themeFillTint="1A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CPB time categories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84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083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auto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lang w:val="en-GB"/>
              </w:rPr>
              <w:t>CPB 0 min (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>OPCAB</w:t>
            </w:r>
            <w:r>
              <w:rPr>
                <w:rFonts w:ascii="Calibri" w:hAnsi="Calibri" w:cs="Calibri"/>
                <w:b/>
                <w:bCs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170 (19.9)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55 (8.3)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19 (5.7)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80C12" w:rsidRPr="00FE0419" w:rsidTr="00211B0A">
        <w:tc>
          <w:tcPr>
            <w:tcW w:w="2405" w:type="dxa"/>
            <w:shd w:val="clear" w:color="auto" w:fill="EAEDF1" w:themeFill="text2" w:themeFillTint="1A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  CPB &gt;120 min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105 (12.3)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119 (17.9)</w:t>
            </w:r>
          </w:p>
        </w:tc>
        <w:tc>
          <w:tcPr>
            <w:tcW w:w="184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60 (18.0)</w:t>
            </w:r>
          </w:p>
        </w:tc>
        <w:tc>
          <w:tcPr>
            <w:tcW w:w="1083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80C12" w:rsidRPr="00FE0419" w:rsidTr="00211B0A">
        <w:tc>
          <w:tcPr>
            <w:tcW w:w="2405" w:type="dxa"/>
            <w:shd w:val="clear" w:color="auto" w:fill="auto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Chest drain output (mL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within 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>24h)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790 [570, 1,070]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715 [540, 965]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470 [327, 685]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b/>
                <w:bCs/>
                <w:lang w:val="en-GB"/>
              </w:rPr>
              <w:t>&lt;0.001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EAEDF1" w:themeFill="text2" w:themeFillTint="1A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Re-exploration</w:t>
            </w:r>
            <w:r w:rsidRPr="00FE0419">
              <w:rPr>
                <w:rFonts w:ascii="Calibri" w:hAnsi="Calibri" w:cs="Calibri"/>
                <w:b/>
                <w:bCs/>
                <w:lang w:val="en-GB"/>
              </w:rPr>
              <w:t xml:space="preserve"> for bleeding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51 (6.0)</w:t>
            </w:r>
          </w:p>
        </w:tc>
        <w:tc>
          <w:tcPr>
            <w:tcW w:w="1843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30 (4.5)</w:t>
            </w:r>
          </w:p>
        </w:tc>
        <w:tc>
          <w:tcPr>
            <w:tcW w:w="1842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11 (3.3)</w:t>
            </w:r>
          </w:p>
        </w:tc>
        <w:tc>
          <w:tcPr>
            <w:tcW w:w="1083" w:type="dxa"/>
            <w:shd w:val="clear" w:color="auto" w:fill="EAEDF1" w:themeFill="text2" w:themeFillTint="1A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 w:rsidRPr="00FE0419">
              <w:rPr>
                <w:rFonts w:ascii="Calibri" w:hAnsi="Calibri" w:cs="Calibri"/>
                <w:lang w:val="en-GB"/>
              </w:rPr>
              <w:t>0.130</w:t>
            </w:r>
          </w:p>
        </w:tc>
      </w:tr>
      <w:tr w:rsidR="00E80C12" w:rsidRPr="00FE0419" w:rsidTr="00211B0A">
        <w:tc>
          <w:tcPr>
            <w:tcW w:w="2405" w:type="dxa"/>
            <w:shd w:val="clear" w:color="auto" w:fill="auto"/>
          </w:tcPr>
          <w:p w:rsidR="00E80C12" w:rsidRDefault="00E80C12" w:rsidP="00211B0A">
            <w:pPr>
              <w:pStyle w:val="NormalWeb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30 day mortality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22 (2.6)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7 (1.1)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8 (2.4)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E80C12" w:rsidRDefault="00E80C12" w:rsidP="00211B0A">
            <w:pPr>
              <w:pStyle w:val="NormalWeb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0.092</w:t>
            </w:r>
          </w:p>
        </w:tc>
      </w:tr>
    </w:tbl>
    <w:p w:rsidR="00E80C12" w:rsidRPr="00FE0419" w:rsidRDefault="00E80C12" w:rsidP="00E80C12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FE0419">
        <w:rPr>
          <w:rFonts w:ascii="Calibri" w:hAnsi="Calibri" w:cs="Calibri"/>
          <w:sz w:val="22"/>
          <w:szCs w:val="22"/>
          <w:lang w:val="en-GB"/>
        </w:rPr>
        <w:t xml:space="preserve">Abbreviations: BMI, body mass index; CKD, chronic kidney disease; LVEF, left ventricular ejection fraction; CPB, cardiopulmonary bypass; OPCAB, off-pump coronary artery bypass. </w:t>
      </w:r>
    </w:p>
    <w:p w:rsidR="00E80C12" w:rsidRPr="00FE0419" w:rsidRDefault="00E80C12" w:rsidP="00E80C12">
      <w:pPr>
        <w:pStyle w:val="Normal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FE0419">
        <w:rPr>
          <w:rFonts w:ascii="Calibri" w:hAnsi="Calibri" w:cs="Calibri"/>
          <w:sz w:val="22"/>
          <w:szCs w:val="22"/>
          <w:lang w:val="en-GB"/>
        </w:rPr>
        <w:t xml:space="preserve">Note: Numerical variables are presented as median </w:t>
      </w:r>
      <w:r>
        <w:rPr>
          <w:rFonts w:ascii="Calibri" w:hAnsi="Calibri" w:cs="Calibri"/>
          <w:sz w:val="22"/>
          <w:szCs w:val="22"/>
          <w:lang w:val="en-GB"/>
        </w:rPr>
        <w:t>[IQR]</w:t>
      </w:r>
      <w:r w:rsidRPr="00FE0419">
        <w:rPr>
          <w:rFonts w:ascii="Calibri" w:hAnsi="Calibri" w:cs="Calibri"/>
          <w:sz w:val="22"/>
          <w:szCs w:val="22"/>
          <w:lang w:val="en-GB"/>
        </w:rPr>
        <w:t>. Categorical variables are presented as counts and percentages</w:t>
      </w:r>
      <w:r>
        <w:rPr>
          <w:rFonts w:ascii="Calibri" w:hAnsi="Calibri" w:cs="Calibri"/>
          <w:sz w:val="22"/>
          <w:szCs w:val="22"/>
          <w:lang w:val="en-GB"/>
        </w:rPr>
        <w:t>, n (%). Bold p-values indicate statistically significant differences.</w:t>
      </w:r>
    </w:p>
    <w:p w:rsidR="00326133" w:rsidRDefault="00326133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/>
    <w:p w:rsidR="00E80C12" w:rsidRDefault="00E80C12" w:rsidP="00E80C12">
      <w:pPr>
        <w:rPr>
          <w:rFonts w:ascii="Calibri" w:hAnsi="Calibri" w:cs="Calibri"/>
          <w:b/>
          <w:bCs/>
          <w:color w:val="000000" w:themeColor="text1"/>
          <w:sz w:val="28"/>
          <w:szCs w:val="28"/>
          <w:lang w:val="en-GB"/>
        </w:rPr>
      </w:pPr>
      <w:r w:rsidRPr="00FE0419">
        <w:rPr>
          <w:rFonts w:ascii="Calibri" w:hAnsi="Calibri" w:cs="Calibri"/>
          <w:b/>
          <w:bCs/>
          <w:color w:val="000000" w:themeColor="text1"/>
          <w:sz w:val="28"/>
          <w:szCs w:val="28"/>
          <w:lang w:val="en-GB"/>
        </w:rPr>
        <w:lastRenderedPageBreak/>
        <w:t>Supplementary figures</w:t>
      </w:r>
    </w:p>
    <w:p w:rsidR="00E80C12" w:rsidRDefault="00E80C12" w:rsidP="00E80C12">
      <w:pPr>
        <w:rPr>
          <w:rFonts w:ascii="Calibri" w:hAnsi="Calibri" w:cs="Calibri"/>
          <w:b/>
          <w:bCs/>
          <w:color w:val="000000" w:themeColor="text1"/>
          <w:sz w:val="28"/>
          <w:szCs w:val="28"/>
          <w:lang w:val="en-GB"/>
        </w:rPr>
      </w:pPr>
    </w:p>
    <w:p w:rsidR="00E80C12" w:rsidRDefault="00E80C12" w:rsidP="00E80C12">
      <w:pPr>
        <w:rPr>
          <w:rFonts w:ascii="Calibri" w:hAnsi="Calibri" w:cs="Calibri"/>
          <w:b/>
          <w:bCs/>
          <w:color w:val="000000" w:themeColor="text1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000000" w:themeColor="text1"/>
          <w:sz w:val="28"/>
          <w:szCs w:val="28"/>
          <w:lang w:val="en-GB"/>
        </w:rPr>
        <w:drawing>
          <wp:inline distT="0" distB="0" distL="0" distR="0" wp14:anchorId="240E40CE" wp14:editId="51D8DBE7">
            <wp:extent cx="5731510" cy="4298950"/>
            <wp:effectExtent l="0" t="0" r="0" b="6350"/>
            <wp:docPr id="1659951519" name="Picture 1" descr="A graph showing the results of a t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951519" name="Picture 1" descr="A graph showing the results of a tes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C12" w:rsidRPr="00FE0419" w:rsidRDefault="00E80C12" w:rsidP="00E80C12">
      <w:pPr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  <w:lang w:val="en-GB"/>
        </w:rPr>
      </w:pPr>
      <w:r>
        <w:rPr>
          <w:rFonts w:ascii="Calibri" w:hAnsi="Calibri" w:cs="Calibri"/>
          <w:i/>
          <w:iCs/>
          <w:lang w:val="en-GB"/>
        </w:rPr>
        <w:t xml:space="preserve">Supplementary </w:t>
      </w:r>
      <w:r w:rsidRPr="00FE0419">
        <w:rPr>
          <w:rFonts w:ascii="Calibri" w:hAnsi="Calibri" w:cs="Calibri"/>
          <w:i/>
          <w:iCs/>
          <w:lang w:val="en-GB"/>
        </w:rPr>
        <w:t xml:space="preserve">Fig. </w:t>
      </w:r>
      <w:r>
        <w:rPr>
          <w:rFonts w:ascii="Calibri" w:hAnsi="Calibri" w:cs="Calibri"/>
          <w:i/>
          <w:iCs/>
          <w:lang w:val="en-GB"/>
        </w:rPr>
        <w:t>1</w:t>
      </w:r>
      <w:r w:rsidRPr="00FE0419">
        <w:rPr>
          <w:rFonts w:ascii="Calibri" w:hAnsi="Calibri" w:cs="Calibri"/>
          <w:i/>
          <w:iCs/>
          <w:lang w:val="en-GB"/>
        </w:rPr>
        <w:t xml:space="preserve">. </w:t>
      </w:r>
      <w:r w:rsidRPr="008F31D4">
        <w:rPr>
          <w:rFonts w:ascii="Calibri" w:hAnsi="Calibri" w:cs="Calibri"/>
          <w:i/>
          <w:iCs/>
          <w:lang w:val="en-GB"/>
        </w:rPr>
        <w:t xml:space="preserve">Perioperative </w:t>
      </w:r>
      <w:r>
        <w:rPr>
          <w:rFonts w:ascii="Calibri" w:hAnsi="Calibri" w:cs="Calibri"/>
          <w:i/>
          <w:iCs/>
          <w:lang w:val="en-GB"/>
        </w:rPr>
        <w:t xml:space="preserve">platelet </w:t>
      </w:r>
      <w:r w:rsidRPr="00FE0419">
        <w:rPr>
          <w:rFonts w:ascii="Calibri" w:hAnsi="Calibri" w:cs="Calibri"/>
          <w:i/>
          <w:iCs/>
          <w:lang w:val="en-GB"/>
        </w:rPr>
        <w:t xml:space="preserve">transfusion proportions and proportions of CABG patients administered fibrinogen from 2005-2022. Arrows indicate the introduction of various transfusion-sparing methods: cell </w:t>
      </w:r>
      <w:r>
        <w:rPr>
          <w:rFonts w:ascii="Calibri" w:hAnsi="Calibri" w:cs="Calibri"/>
          <w:i/>
          <w:iCs/>
          <w:lang w:val="en-GB"/>
        </w:rPr>
        <w:t>salvage</w:t>
      </w:r>
      <w:r w:rsidRPr="00FE0419">
        <w:rPr>
          <w:rFonts w:ascii="Calibri" w:hAnsi="Calibri" w:cs="Calibri"/>
          <w:i/>
          <w:iCs/>
          <w:lang w:val="en-GB"/>
        </w:rPr>
        <w:t xml:space="preserve"> (2009), transfusion guidelines (2010), </w:t>
      </w:r>
      <w:r>
        <w:rPr>
          <w:rFonts w:ascii="Calibri" w:hAnsi="Calibri" w:cs="Calibri"/>
          <w:i/>
          <w:iCs/>
          <w:lang w:val="en-GB"/>
        </w:rPr>
        <w:t xml:space="preserve">routine use of </w:t>
      </w:r>
      <w:r w:rsidRPr="00FE0419">
        <w:rPr>
          <w:rFonts w:ascii="Calibri" w:hAnsi="Calibri" w:cs="Calibri"/>
          <w:i/>
          <w:iCs/>
          <w:lang w:val="en-GB"/>
        </w:rPr>
        <w:t xml:space="preserve">heparin titration (2013) and </w:t>
      </w:r>
      <w:r>
        <w:rPr>
          <w:rFonts w:ascii="Calibri" w:hAnsi="Calibri" w:cs="Calibri"/>
          <w:i/>
          <w:iCs/>
          <w:lang w:val="en-GB"/>
        </w:rPr>
        <w:t>viscoelastic tests</w:t>
      </w:r>
      <w:r w:rsidRPr="00FE0419">
        <w:rPr>
          <w:rFonts w:ascii="Calibri" w:hAnsi="Calibri" w:cs="Calibri"/>
          <w:i/>
          <w:iCs/>
          <w:lang w:val="en-GB"/>
        </w:rPr>
        <w:t xml:space="preserve"> (2019).</w:t>
      </w:r>
    </w:p>
    <w:p w:rsidR="00E80C12" w:rsidRDefault="00E80C12" w:rsidP="00E80C12">
      <w:pPr>
        <w:rPr>
          <w:rFonts w:ascii="Calibri" w:hAnsi="Calibri" w:cs="Calibri"/>
          <w:b/>
          <w:bCs/>
          <w:color w:val="000000" w:themeColor="text1"/>
          <w:sz w:val="28"/>
          <w:szCs w:val="28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b/>
          <w:bCs/>
          <w:color w:val="000000" w:themeColor="text1"/>
          <w:sz w:val="28"/>
          <w:szCs w:val="28"/>
          <w:lang w:val="en-GB"/>
        </w:rPr>
      </w:pPr>
    </w:p>
    <w:p w:rsidR="00E80C12" w:rsidRPr="00FE0419" w:rsidRDefault="00E80C12" w:rsidP="00E80C12">
      <w:pPr>
        <w:spacing w:line="360" w:lineRule="auto"/>
        <w:jc w:val="center"/>
        <w:rPr>
          <w:rFonts w:ascii="Calibri" w:hAnsi="Calibri" w:cs="Calibri"/>
          <w:lang w:val="en-GB"/>
        </w:rPr>
      </w:pPr>
      <w:r w:rsidRPr="00FE0419">
        <w:rPr>
          <w:rFonts w:ascii="Calibri" w:hAnsi="Calibri" w:cs="Calibri"/>
          <w:noProof/>
          <w:lang w:val="en-GB"/>
        </w:rPr>
        <w:lastRenderedPageBreak/>
        <w:drawing>
          <wp:inline distT="0" distB="0" distL="0" distR="0" wp14:anchorId="0779082F" wp14:editId="493BAFB1">
            <wp:extent cx="5731510" cy="5731510"/>
            <wp:effectExtent l="0" t="0" r="0" b="0"/>
            <wp:docPr id="1740603401" name="Picture 2" descr="A graph of different colors and siz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603401" name="Picture 2" descr="A graph of different colors and size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C12" w:rsidRPr="00FE0419" w:rsidRDefault="00E80C12" w:rsidP="00E80C12">
      <w:pPr>
        <w:spacing w:line="276" w:lineRule="auto"/>
        <w:jc w:val="both"/>
        <w:rPr>
          <w:rFonts w:ascii="Calibri" w:hAnsi="Calibri" w:cs="Calibri"/>
          <w:i/>
          <w:iCs/>
          <w:lang w:val="en-GB"/>
        </w:rPr>
      </w:pPr>
      <w:r>
        <w:rPr>
          <w:rFonts w:ascii="Calibri" w:hAnsi="Calibri" w:cs="Calibri"/>
          <w:i/>
          <w:iCs/>
          <w:lang w:val="en-GB"/>
        </w:rPr>
        <w:t xml:space="preserve">Supplementary </w:t>
      </w:r>
      <w:r w:rsidRPr="00FE0419">
        <w:rPr>
          <w:rFonts w:ascii="Calibri" w:hAnsi="Calibri" w:cs="Calibri"/>
          <w:i/>
          <w:iCs/>
          <w:lang w:val="en-GB"/>
        </w:rPr>
        <w:t xml:space="preserve">Fig. </w:t>
      </w:r>
      <w:r>
        <w:rPr>
          <w:rFonts w:ascii="Calibri" w:hAnsi="Calibri" w:cs="Calibri"/>
          <w:i/>
          <w:iCs/>
          <w:lang w:val="en-GB"/>
        </w:rPr>
        <w:t>2</w:t>
      </w:r>
      <w:r w:rsidRPr="00FE0419">
        <w:rPr>
          <w:rFonts w:ascii="Calibri" w:hAnsi="Calibri" w:cs="Calibri"/>
          <w:i/>
          <w:iCs/>
          <w:lang w:val="en-GB"/>
        </w:rPr>
        <w:t xml:space="preserve">. Median units of RBCs, FFP and PLTs transfused across three 6-year intervals. Median grams of administered fibrinogen are also shown for the same intervals. </w:t>
      </w:r>
      <w:r>
        <w:rPr>
          <w:rFonts w:ascii="Calibri" w:hAnsi="Calibri" w:cs="Calibri"/>
          <w:i/>
          <w:iCs/>
          <w:lang w:val="en-GB"/>
        </w:rPr>
        <w:t xml:space="preserve">Note: Median units of RBCs are calculated exclusively among RBC-transfused patients. The same applies for median units of FFP and PLTs and median fibrinogen grams. </w:t>
      </w:r>
      <w:r w:rsidRPr="00FE0419">
        <w:rPr>
          <w:rFonts w:ascii="Calibri" w:hAnsi="Calibri" w:cs="Calibri"/>
          <w:i/>
          <w:iCs/>
          <w:lang w:val="en-GB"/>
        </w:rPr>
        <w:t xml:space="preserve">Error bars represent interquartile ranges.  </w:t>
      </w: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spacing w:line="360" w:lineRule="auto"/>
        <w:jc w:val="center"/>
        <w:rPr>
          <w:rFonts w:ascii="Calibri" w:hAnsi="Calibri" w:cs="Calibri"/>
          <w:lang w:val="en-GB"/>
        </w:rPr>
      </w:pPr>
      <w:r>
        <w:rPr>
          <w:rFonts w:ascii="Calibri" w:hAnsi="Calibri" w:cs="Calibri"/>
          <w:noProof/>
          <w:lang w:val="en-GB"/>
        </w:rPr>
        <w:lastRenderedPageBreak/>
        <w:drawing>
          <wp:inline distT="0" distB="0" distL="0" distR="0" wp14:anchorId="11CFF11F" wp14:editId="7161E13D">
            <wp:extent cx="5731510" cy="3820795"/>
            <wp:effectExtent l="0" t="0" r="0" b="1905"/>
            <wp:docPr id="2009579535" name="Picture 1" descr="A graph showing the growth of the number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579535" name="Picture 1" descr="A graph showing the growth of the number of patien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C12" w:rsidRPr="00FE0419" w:rsidRDefault="00E80C12" w:rsidP="00E80C12">
      <w:pPr>
        <w:spacing w:line="276" w:lineRule="auto"/>
        <w:jc w:val="both"/>
        <w:rPr>
          <w:rFonts w:ascii="Calibri" w:hAnsi="Calibri" w:cs="Calibri"/>
          <w:i/>
          <w:iCs/>
          <w:lang w:val="en-GB"/>
        </w:rPr>
      </w:pPr>
      <w:r w:rsidRPr="00FE0419">
        <w:rPr>
          <w:rFonts w:ascii="Calibri" w:hAnsi="Calibri" w:cs="Calibri"/>
          <w:i/>
          <w:iCs/>
          <w:lang w:val="en-GB"/>
        </w:rPr>
        <w:t xml:space="preserve">Supplementary Fig. </w:t>
      </w:r>
      <w:r>
        <w:rPr>
          <w:rFonts w:ascii="Calibri" w:hAnsi="Calibri" w:cs="Calibri"/>
          <w:i/>
          <w:iCs/>
          <w:lang w:val="en-GB"/>
        </w:rPr>
        <w:t>3</w:t>
      </w:r>
      <w:r w:rsidRPr="00FE0419">
        <w:rPr>
          <w:rFonts w:ascii="Calibri" w:hAnsi="Calibri" w:cs="Calibri"/>
          <w:i/>
          <w:iCs/>
          <w:lang w:val="en-GB"/>
        </w:rPr>
        <w:t xml:space="preserve">. Perioperative transfusion proportions across three 6-year intervals. Proportions of patients </w:t>
      </w:r>
      <w:r>
        <w:rPr>
          <w:rFonts w:ascii="Calibri" w:hAnsi="Calibri" w:cs="Calibri"/>
          <w:i/>
          <w:iCs/>
          <w:lang w:val="en-GB"/>
        </w:rPr>
        <w:t>treated with</w:t>
      </w:r>
      <w:r w:rsidRPr="00FE0419">
        <w:rPr>
          <w:rFonts w:ascii="Calibri" w:hAnsi="Calibri" w:cs="Calibri"/>
          <w:i/>
          <w:iCs/>
          <w:lang w:val="en-GB"/>
        </w:rPr>
        <w:t xml:space="preserve"> aspirin until surgery and clopidogrel within five days before surgery is also shown, along with proportions of patients undergoing reoperation for bleeding.  </w:t>
      </w: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rPr>
          <w:rFonts w:ascii="Calibri" w:hAnsi="Calibri" w:cs="Calibri"/>
          <w:lang w:val="en-GB"/>
        </w:rPr>
      </w:pPr>
    </w:p>
    <w:p w:rsidR="00E80C12" w:rsidRPr="00FE0419" w:rsidRDefault="00E80C12" w:rsidP="00E80C12">
      <w:pPr>
        <w:spacing w:line="360" w:lineRule="auto"/>
        <w:jc w:val="both"/>
        <w:rPr>
          <w:rFonts w:ascii="Calibri" w:hAnsi="Calibri" w:cs="Calibri"/>
          <w:lang w:val="en-GB"/>
        </w:rPr>
      </w:pPr>
      <w:r w:rsidRPr="00FE0419">
        <w:rPr>
          <w:rFonts w:ascii="Calibri" w:hAnsi="Calibri" w:cs="Calibri"/>
          <w:noProof/>
          <w:lang w:val="en-GB"/>
        </w:rPr>
        <w:drawing>
          <wp:inline distT="0" distB="0" distL="0" distR="0" wp14:anchorId="530ADD17" wp14:editId="62D0A5FA">
            <wp:extent cx="5731510" cy="3820795"/>
            <wp:effectExtent l="0" t="0" r="0" b="1905"/>
            <wp:docPr id="1169530833" name="Picture 8" descr="A line graph with numbers an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530833" name="Picture 8" descr="A line graph with numbers and dot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C12" w:rsidRPr="00FE0419" w:rsidRDefault="00E80C12" w:rsidP="00E80C12">
      <w:pPr>
        <w:spacing w:line="276" w:lineRule="auto"/>
        <w:jc w:val="both"/>
        <w:rPr>
          <w:rFonts w:ascii="Calibri" w:hAnsi="Calibri" w:cs="Calibri"/>
          <w:i/>
          <w:iCs/>
          <w:lang w:val="en-GB"/>
        </w:rPr>
      </w:pPr>
      <w:r w:rsidRPr="00FE0419">
        <w:rPr>
          <w:rFonts w:ascii="Calibri" w:hAnsi="Calibri" w:cs="Calibri"/>
          <w:i/>
          <w:iCs/>
          <w:lang w:val="en-GB"/>
        </w:rPr>
        <w:t xml:space="preserve">Supplementary Fig. </w:t>
      </w:r>
      <w:r>
        <w:rPr>
          <w:rFonts w:ascii="Calibri" w:hAnsi="Calibri" w:cs="Calibri"/>
          <w:i/>
          <w:iCs/>
          <w:lang w:val="en-GB"/>
        </w:rPr>
        <w:t>4</w:t>
      </w:r>
      <w:r w:rsidRPr="00FE0419">
        <w:rPr>
          <w:rFonts w:ascii="Calibri" w:hAnsi="Calibri" w:cs="Calibri"/>
          <w:i/>
          <w:iCs/>
          <w:lang w:val="en-GB"/>
        </w:rPr>
        <w:t>. Median chest drain output 24 hours postoperatively across three 6-year intervals. Error bars represent interquartile ranges.</w:t>
      </w:r>
    </w:p>
    <w:p w:rsidR="00E80C12" w:rsidRDefault="00E80C12"/>
    <w:sectPr w:rsidR="00E80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12"/>
    <w:rsid w:val="00043D1E"/>
    <w:rsid w:val="00051690"/>
    <w:rsid w:val="00052569"/>
    <w:rsid w:val="000532D2"/>
    <w:rsid w:val="000A28DC"/>
    <w:rsid w:val="000B17E9"/>
    <w:rsid w:val="000E1A48"/>
    <w:rsid w:val="000E30CF"/>
    <w:rsid w:val="000F1245"/>
    <w:rsid w:val="000F15CC"/>
    <w:rsid w:val="000F231B"/>
    <w:rsid w:val="0011046C"/>
    <w:rsid w:val="00135165"/>
    <w:rsid w:val="001D0FAE"/>
    <w:rsid w:val="00235E0F"/>
    <w:rsid w:val="00297B81"/>
    <w:rsid w:val="002A7359"/>
    <w:rsid w:val="002E53A1"/>
    <w:rsid w:val="002F4636"/>
    <w:rsid w:val="003013CD"/>
    <w:rsid w:val="00326133"/>
    <w:rsid w:val="003440C0"/>
    <w:rsid w:val="0038061D"/>
    <w:rsid w:val="003E3A55"/>
    <w:rsid w:val="003F15CD"/>
    <w:rsid w:val="004064D9"/>
    <w:rsid w:val="00415677"/>
    <w:rsid w:val="004170AA"/>
    <w:rsid w:val="0042049C"/>
    <w:rsid w:val="004902B0"/>
    <w:rsid w:val="004B23EA"/>
    <w:rsid w:val="004C0D03"/>
    <w:rsid w:val="004F15B8"/>
    <w:rsid w:val="005149D0"/>
    <w:rsid w:val="00533F8D"/>
    <w:rsid w:val="005421F1"/>
    <w:rsid w:val="00554880"/>
    <w:rsid w:val="00594660"/>
    <w:rsid w:val="005C5560"/>
    <w:rsid w:val="00625B8A"/>
    <w:rsid w:val="00640704"/>
    <w:rsid w:val="00640C60"/>
    <w:rsid w:val="006A250B"/>
    <w:rsid w:val="006C64A6"/>
    <w:rsid w:val="00700036"/>
    <w:rsid w:val="00702968"/>
    <w:rsid w:val="00724812"/>
    <w:rsid w:val="007707FC"/>
    <w:rsid w:val="007B5473"/>
    <w:rsid w:val="007D5DD4"/>
    <w:rsid w:val="007E4941"/>
    <w:rsid w:val="007F2783"/>
    <w:rsid w:val="00851595"/>
    <w:rsid w:val="0085657A"/>
    <w:rsid w:val="00867AC4"/>
    <w:rsid w:val="00922644"/>
    <w:rsid w:val="00952AB8"/>
    <w:rsid w:val="00956A5D"/>
    <w:rsid w:val="00957D15"/>
    <w:rsid w:val="009954EA"/>
    <w:rsid w:val="009A591C"/>
    <w:rsid w:val="009C7A1A"/>
    <w:rsid w:val="009F0AB6"/>
    <w:rsid w:val="00A13E41"/>
    <w:rsid w:val="00A53305"/>
    <w:rsid w:val="00A5536E"/>
    <w:rsid w:val="00AD19D5"/>
    <w:rsid w:val="00B1456B"/>
    <w:rsid w:val="00B46183"/>
    <w:rsid w:val="00B550A5"/>
    <w:rsid w:val="00BF363E"/>
    <w:rsid w:val="00C4198D"/>
    <w:rsid w:val="00C80948"/>
    <w:rsid w:val="00C80D43"/>
    <w:rsid w:val="00CF3957"/>
    <w:rsid w:val="00D1184F"/>
    <w:rsid w:val="00D27B6C"/>
    <w:rsid w:val="00D31AF3"/>
    <w:rsid w:val="00D54FDD"/>
    <w:rsid w:val="00D756F9"/>
    <w:rsid w:val="00DA1EEF"/>
    <w:rsid w:val="00DB05CB"/>
    <w:rsid w:val="00DB3D1B"/>
    <w:rsid w:val="00DB4849"/>
    <w:rsid w:val="00DD02CA"/>
    <w:rsid w:val="00E0691E"/>
    <w:rsid w:val="00E24231"/>
    <w:rsid w:val="00E33088"/>
    <w:rsid w:val="00E50A58"/>
    <w:rsid w:val="00E719C0"/>
    <w:rsid w:val="00E80C12"/>
    <w:rsid w:val="00EA0205"/>
    <w:rsid w:val="00EC58EE"/>
    <w:rsid w:val="00ED1229"/>
    <w:rsid w:val="00EF059A"/>
    <w:rsid w:val="00F14AE6"/>
    <w:rsid w:val="00F15AD6"/>
    <w:rsid w:val="00F54DFC"/>
    <w:rsid w:val="00F85799"/>
    <w:rsid w:val="00FD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7C53DD"/>
  <w15:chartTrackingRefBased/>
  <w15:docId w15:val="{DC5C0792-D697-5A47-8FC6-85369D97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C12"/>
  </w:style>
  <w:style w:type="paragraph" w:styleId="Heading1">
    <w:name w:val="heading 1"/>
    <w:basedOn w:val="Normal"/>
    <w:next w:val="Normal"/>
    <w:link w:val="Heading1Char"/>
    <w:uiPriority w:val="9"/>
    <w:qFormat/>
    <w:rsid w:val="00E80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C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C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C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C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C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C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C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C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C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C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C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C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C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C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C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C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C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C1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80C1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E80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Matthildur María Magnúsdóttir - HI</dc:creator>
  <cp:keywords/>
  <dc:description/>
  <cp:lastModifiedBy>Matthildur María Magnúsdóttir - HI</cp:lastModifiedBy>
  <cp:revision>1</cp:revision>
  <dcterms:created xsi:type="dcterms:W3CDTF">2026-02-03T12:06:00Z</dcterms:created>
  <dcterms:modified xsi:type="dcterms:W3CDTF">2026-02-03T12:08:00Z</dcterms:modified>
</cp:coreProperties>
</file>