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35B7F" w14:textId="77777777" w:rsidR="001D6422" w:rsidRDefault="001D6422" w:rsidP="001D6422">
      <w:pPr>
        <w:spacing w:line="480" w:lineRule="auto"/>
        <w:ind w:right="-20"/>
        <w:rPr>
          <w:rFonts w:eastAsia="Arial"/>
          <w:b/>
          <w:bCs/>
        </w:rPr>
      </w:pPr>
      <w:r>
        <w:rPr>
          <w:rFonts w:eastAsia="Arial"/>
          <w:b/>
          <w:bCs/>
        </w:rPr>
        <w:t>Additional file 2 -</w:t>
      </w:r>
      <w:r w:rsidRPr="00785C9E">
        <w:rPr>
          <w:rFonts w:eastAsia="Arial"/>
          <w:b/>
          <w:bCs/>
        </w:rPr>
        <w:t xml:space="preserve"> </w:t>
      </w:r>
      <w:r>
        <w:rPr>
          <w:rFonts w:eastAsia="Arial"/>
          <w:b/>
          <w:bCs/>
        </w:rPr>
        <w:t>Reasons</w:t>
      </w:r>
      <w:r w:rsidRPr="00DC67AA">
        <w:rPr>
          <w:rFonts w:eastAsia="Arial"/>
          <w:b/>
          <w:bCs/>
        </w:rPr>
        <w:t xml:space="preserve"> </w:t>
      </w:r>
      <w:r>
        <w:rPr>
          <w:rFonts w:eastAsia="Arial"/>
          <w:b/>
          <w:bCs/>
        </w:rPr>
        <w:t>for</w:t>
      </w:r>
      <w:r w:rsidRPr="00DC67AA">
        <w:rPr>
          <w:rFonts w:eastAsia="Arial"/>
          <w:b/>
          <w:bCs/>
        </w:rPr>
        <w:t xml:space="preserve"> excluded studies </w:t>
      </w:r>
    </w:p>
    <w:p w14:paraId="70F9DBC5" w14:textId="77777777" w:rsidR="001D6422" w:rsidRPr="00561FA4" w:rsidRDefault="001D6422" w:rsidP="001D6422">
      <w:pPr>
        <w:spacing w:line="480" w:lineRule="auto"/>
        <w:ind w:right="-20"/>
        <w:rPr>
          <w:rFonts w:eastAsia="Arial"/>
        </w:rPr>
      </w:pPr>
      <w:r>
        <w:rPr>
          <w:rFonts w:eastAsia="Arial"/>
        </w:rPr>
        <w:t xml:space="preserve">Table 2: Reasons for exclusions </w:t>
      </w:r>
    </w:p>
    <w:tbl>
      <w:tblPr>
        <w:tblStyle w:val="TableGrid"/>
        <w:tblW w:w="0" w:type="auto"/>
        <w:tblLayout w:type="fixed"/>
        <w:tblLook w:val="06A0" w:firstRow="1" w:lastRow="0" w:firstColumn="1" w:lastColumn="0" w:noHBand="1" w:noVBand="1"/>
      </w:tblPr>
      <w:tblGrid>
        <w:gridCol w:w="4680"/>
        <w:gridCol w:w="4680"/>
      </w:tblGrid>
      <w:tr w:rsidR="001D6422" w:rsidRPr="00021BBE" w14:paraId="000676FA"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70FD18" w14:textId="77777777" w:rsidR="001D6422" w:rsidRPr="00021BBE" w:rsidRDefault="001D6422" w:rsidP="00BC49CF">
            <w:pPr>
              <w:spacing w:line="480" w:lineRule="auto"/>
              <w:ind w:left="-20" w:right="-20"/>
            </w:pPr>
            <w:r w:rsidRPr="00021BBE">
              <w:rPr>
                <w:rFonts w:eastAsia="Arial"/>
                <w:b/>
                <w:bCs/>
                <w:color w:val="000000" w:themeColor="text1"/>
              </w:rPr>
              <w:t>Study</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AA442E" w14:textId="77777777" w:rsidR="001D6422" w:rsidRPr="00021BBE" w:rsidRDefault="001D6422" w:rsidP="00BC49CF">
            <w:pPr>
              <w:spacing w:line="480" w:lineRule="auto"/>
              <w:ind w:left="-20" w:right="-20"/>
            </w:pPr>
            <w:r w:rsidRPr="00021BBE">
              <w:rPr>
                <w:rFonts w:eastAsia="Arial"/>
                <w:b/>
                <w:bCs/>
                <w:color w:val="000000" w:themeColor="text1"/>
              </w:rPr>
              <w:t xml:space="preserve">Reason for exclusion </w:t>
            </w:r>
          </w:p>
        </w:tc>
      </w:tr>
      <w:tr w:rsidR="001D6422" w:rsidRPr="00021BBE" w14:paraId="289929FA"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0EF544" w14:textId="77777777" w:rsidR="001D6422" w:rsidRPr="00021BBE" w:rsidRDefault="001D6422" w:rsidP="00BC49CF">
            <w:pPr>
              <w:spacing w:line="480" w:lineRule="auto"/>
              <w:ind w:left="-20" w:right="-20"/>
            </w:pPr>
            <w:r w:rsidRPr="00021BBE">
              <w:rPr>
                <w:rFonts w:eastAsia="Arial"/>
                <w:color w:val="000000" w:themeColor="text1"/>
              </w:rPr>
              <w:t>Bando K, Turrentine MW, Vijay P, Sharp TG, Sekine Y, Lalone BJ, et al. Effect of modified ultrafiltration in high-risk patients undergoing operations for congenital heart disease. Ann Thorac Surg. 1998;66(3):821-7; discussion 8.</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FE3FE22" w14:textId="77777777" w:rsidR="001D6422" w:rsidRPr="00021BBE" w:rsidRDefault="001D6422" w:rsidP="00BC49CF">
            <w:pPr>
              <w:spacing w:line="480" w:lineRule="auto"/>
              <w:ind w:left="-20" w:right="-20"/>
            </w:pPr>
            <w:r w:rsidRPr="00021BBE">
              <w:rPr>
                <w:rFonts w:eastAsia="Arial"/>
                <w:color w:val="000000" w:themeColor="text1"/>
              </w:rPr>
              <w:t xml:space="preserve">Incorrect outcome </w:t>
            </w:r>
          </w:p>
        </w:tc>
      </w:tr>
      <w:tr w:rsidR="001D6422" w:rsidRPr="00021BBE" w14:paraId="04128F9D"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EC11FF" w14:textId="77777777" w:rsidR="001D6422" w:rsidRPr="00021BBE" w:rsidRDefault="001D6422" w:rsidP="00BC49CF">
            <w:pPr>
              <w:spacing w:line="480" w:lineRule="auto"/>
              <w:ind w:left="-20" w:right="-20"/>
            </w:pPr>
            <w:r w:rsidRPr="00021BBE">
              <w:rPr>
                <w:rFonts w:eastAsia="Arial"/>
                <w:color w:val="000000" w:themeColor="text1"/>
              </w:rPr>
              <w:t>Barnwal NK, Umbarkar SR, Sarkar M, Dias R. Randomized comparative study of intravenous infusion of three different fixed doses of milrinone in pediatric patients with pulmonary hypertension undergoing open heart surgery. Annals of Cardiac Anaesthesia. 2017;20(3):318-22.</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7B239F" w14:textId="77777777" w:rsidR="001D6422" w:rsidRPr="00021BBE" w:rsidRDefault="001D6422" w:rsidP="00BC49CF">
            <w:pPr>
              <w:spacing w:line="480" w:lineRule="auto"/>
              <w:ind w:left="-20" w:right="-20"/>
            </w:pPr>
            <w:r w:rsidRPr="00021BBE">
              <w:rPr>
                <w:rFonts w:eastAsia="Arial"/>
                <w:color w:val="000000" w:themeColor="text1"/>
              </w:rPr>
              <w:t xml:space="preserve">Incorrect comparator </w:t>
            </w:r>
          </w:p>
        </w:tc>
      </w:tr>
      <w:tr w:rsidR="001D6422" w:rsidRPr="00021BBE" w14:paraId="3F71C0E3"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71C2F75" w14:textId="77777777" w:rsidR="001D6422" w:rsidRPr="00021BBE" w:rsidRDefault="001D6422" w:rsidP="00BC49CF">
            <w:pPr>
              <w:spacing w:line="480" w:lineRule="auto"/>
              <w:ind w:left="-20" w:right="-20"/>
            </w:pPr>
            <w:r w:rsidRPr="005F77EB">
              <w:rPr>
                <w:rFonts w:eastAsia="Arial"/>
                <w:color w:val="000000" w:themeColor="text1"/>
                <w:lang w:val="it-IT"/>
              </w:rPr>
              <w:t xml:space="preserve">Beghetti M, Channick RN, Chin KM, Di Scala L, Gaine S, Ghofrani HA, et al. </w:t>
            </w:r>
            <w:r w:rsidRPr="00021BBE">
              <w:rPr>
                <w:rFonts w:eastAsia="Arial"/>
                <w:color w:val="000000" w:themeColor="text1"/>
              </w:rPr>
              <w:t>Selexipag treatment for pulmonary arterial hypertension associated with congenital heart disease after defect correction: insights from the randomised controlled GRIPHON study. Eur J Heart Fail. 2019;21(3):352-9.</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5588E6" w14:textId="77777777" w:rsidR="001D6422" w:rsidRPr="00021BBE" w:rsidRDefault="001D6422" w:rsidP="00BC49CF">
            <w:pPr>
              <w:spacing w:line="480" w:lineRule="auto"/>
              <w:ind w:left="-20" w:right="-20"/>
            </w:pPr>
            <w:r w:rsidRPr="00021BBE">
              <w:rPr>
                <w:rFonts w:eastAsia="Arial"/>
                <w:color w:val="000000" w:themeColor="text1"/>
              </w:rPr>
              <w:t xml:space="preserve">Incorrect study type </w:t>
            </w:r>
          </w:p>
        </w:tc>
      </w:tr>
      <w:tr w:rsidR="001D6422" w:rsidRPr="00021BBE" w14:paraId="2E9180BE"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019C82" w14:textId="77777777" w:rsidR="001D6422" w:rsidRPr="00021BBE" w:rsidRDefault="001D6422" w:rsidP="00BC49CF">
            <w:pPr>
              <w:spacing w:line="480" w:lineRule="auto"/>
              <w:ind w:left="-20" w:right="-20"/>
            </w:pPr>
            <w:r w:rsidRPr="00021BBE">
              <w:rPr>
                <w:rFonts w:eastAsia="Arial"/>
                <w:color w:val="000000" w:themeColor="text1"/>
              </w:rPr>
              <w:t xml:space="preserve">Day RW, Hawkins JA, McGough EC, Crezeé KL, Orsmond GS. Randomized controlled study of inhaled nitric oxide after operation for congenital </w:t>
            </w:r>
            <w:r w:rsidRPr="00021BBE">
              <w:rPr>
                <w:rFonts w:eastAsia="Arial"/>
                <w:color w:val="000000" w:themeColor="text1"/>
              </w:rPr>
              <w:lastRenderedPageBreak/>
              <w:t>heart disease. Ann Thorac Surg. 2000;69(6):1907-12; discussion 13.</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DDEB1C" w14:textId="77777777" w:rsidR="001D6422" w:rsidRPr="00021BBE" w:rsidRDefault="001D6422" w:rsidP="00BC49CF">
            <w:pPr>
              <w:spacing w:line="480" w:lineRule="auto"/>
              <w:ind w:left="-20" w:right="-20"/>
            </w:pPr>
            <w:r w:rsidRPr="00021BBE">
              <w:rPr>
                <w:rFonts w:eastAsia="Arial"/>
                <w:color w:val="000000" w:themeColor="text1"/>
              </w:rPr>
              <w:lastRenderedPageBreak/>
              <w:t xml:space="preserve"> Incorrect population</w:t>
            </w:r>
          </w:p>
        </w:tc>
      </w:tr>
      <w:tr w:rsidR="001D6422" w:rsidRPr="00021BBE" w14:paraId="5CD0EF5A"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04BE56" w14:textId="77777777" w:rsidR="001D6422" w:rsidRPr="00021BBE" w:rsidRDefault="001D6422" w:rsidP="00BC49CF">
            <w:pPr>
              <w:spacing w:line="480" w:lineRule="auto"/>
              <w:ind w:left="-20" w:right="-20"/>
            </w:pPr>
            <w:r w:rsidRPr="00021BBE">
              <w:rPr>
                <w:rFonts w:eastAsia="Arial"/>
                <w:color w:val="000000" w:themeColor="text1"/>
              </w:rPr>
              <w:t>El Midany AA, Mostafa EA, Azab S, Hassan GA. Perioperative sildenafil therapy for pulmonary hypertension in infants undergoing congenital cardiac defect closure. Interact Cardiovasc Thorac Surg. 2013;17(6):963-8.</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069D65" w14:textId="77777777" w:rsidR="001D6422" w:rsidRPr="00021BBE" w:rsidRDefault="001D6422" w:rsidP="00BC49CF">
            <w:pPr>
              <w:spacing w:line="480" w:lineRule="auto"/>
              <w:ind w:left="-20" w:right="-20"/>
            </w:pPr>
            <w:r w:rsidRPr="00021BBE">
              <w:rPr>
                <w:rFonts w:eastAsia="Arial"/>
                <w:color w:val="000000" w:themeColor="text1"/>
              </w:rPr>
              <w:t xml:space="preserve">Incorrect comparator </w:t>
            </w:r>
          </w:p>
        </w:tc>
      </w:tr>
      <w:tr w:rsidR="001D6422" w:rsidRPr="00021BBE" w14:paraId="116FDB3E"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7B2A5C" w14:textId="77777777" w:rsidR="001D6422" w:rsidRPr="00021BBE" w:rsidRDefault="001D6422" w:rsidP="00BC49CF">
            <w:pPr>
              <w:spacing w:line="480" w:lineRule="auto"/>
              <w:ind w:left="-20" w:right="-20"/>
            </w:pPr>
            <w:r w:rsidRPr="00021BBE">
              <w:rPr>
                <w:rFonts w:eastAsia="Arial"/>
                <w:color w:val="000000" w:themeColor="text1"/>
              </w:rPr>
              <w:t>Miller O, Tang SF, Keech A, Pigott NB, Beller E, Celermajer DS. Inhaled nitric oxide and prevention of pulmonary hypertension after congenital heart surgery: A randomised double-blind study. Lancet. 2000;356(9240):1464-9.</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14DD05" w14:textId="77777777" w:rsidR="001D6422" w:rsidRPr="00021BBE" w:rsidRDefault="001D6422" w:rsidP="00BC49CF">
            <w:pPr>
              <w:spacing w:line="480" w:lineRule="auto"/>
              <w:ind w:left="-20" w:right="-20"/>
            </w:pPr>
            <w:r w:rsidRPr="00021BBE">
              <w:rPr>
                <w:rFonts w:eastAsia="Arial"/>
                <w:color w:val="000000" w:themeColor="text1"/>
              </w:rPr>
              <w:t xml:space="preserve">Incorrect outcome </w:t>
            </w:r>
          </w:p>
        </w:tc>
      </w:tr>
      <w:tr w:rsidR="001D6422" w:rsidRPr="00021BBE" w14:paraId="0064E4D0"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3A8583" w14:textId="77777777" w:rsidR="001D6422" w:rsidRPr="00021BBE" w:rsidRDefault="001D6422" w:rsidP="00BC49CF">
            <w:pPr>
              <w:spacing w:line="480" w:lineRule="auto"/>
              <w:ind w:left="-20" w:right="-20"/>
            </w:pPr>
            <w:r w:rsidRPr="00021BBE">
              <w:rPr>
                <w:rFonts w:eastAsia="Arial"/>
                <w:color w:val="000000" w:themeColor="text1"/>
              </w:rPr>
              <w:t>Peiravian F, Amirghofran AA, Borzouee M, Ajami GH, Sabri MR, Kolaee S. Oral sildenafil to control pulmonary hypertension after congenital heart surgery. Asian Cardiovascular and Thoracic Annals. 2007;15(2):113-7.</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20979A" w14:textId="77777777" w:rsidR="001D6422" w:rsidRPr="00021BBE" w:rsidRDefault="001D6422" w:rsidP="00BC49CF">
            <w:pPr>
              <w:spacing w:line="480" w:lineRule="auto"/>
              <w:ind w:left="-20" w:right="-20"/>
            </w:pPr>
            <w:r w:rsidRPr="00021BBE">
              <w:rPr>
                <w:rFonts w:eastAsia="Arial"/>
                <w:color w:val="000000" w:themeColor="text1"/>
              </w:rPr>
              <w:t xml:space="preserve"> Incorrect population</w:t>
            </w:r>
          </w:p>
        </w:tc>
      </w:tr>
      <w:tr w:rsidR="001D6422" w:rsidRPr="00021BBE" w14:paraId="502A69BF"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AAA853" w14:textId="77777777" w:rsidR="001D6422" w:rsidRPr="00021BBE" w:rsidRDefault="001D6422" w:rsidP="00BC49CF">
            <w:pPr>
              <w:spacing w:line="480" w:lineRule="auto"/>
              <w:ind w:left="-20" w:right="-20"/>
            </w:pPr>
            <w:r w:rsidRPr="00021BBE">
              <w:rPr>
                <w:rFonts w:eastAsia="Arial"/>
                <w:color w:val="000000" w:themeColor="text1"/>
              </w:rPr>
              <w:t>Sharma VK, Joshi S, Joshi A, Kumar G, Arora H, Garg A. Does intravenous sildenafil clinically ameliorate pulmonary hypertension during perioperative management of congenital heart diseases in children?-A prospective randomized study. Annals of Cardiac Anaesthesia. 2015;18(4):510-6.</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3084ACC" w14:textId="77777777" w:rsidR="001D6422" w:rsidRPr="00021BBE" w:rsidRDefault="001D6422" w:rsidP="00BC49CF">
            <w:pPr>
              <w:spacing w:line="480" w:lineRule="auto"/>
              <w:ind w:left="-20" w:right="-20"/>
            </w:pPr>
            <w:r w:rsidRPr="00021BBE">
              <w:rPr>
                <w:rFonts w:eastAsia="Arial"/>
                <w:color w:val="000000" w:themeColor="text1"/>
              </w:rPr>
              <w:t xml:space="preserve">Incorrect outcome </w:t>
            </w:r>
          </w:p>
        </w:tc>
      </w:tr>
      <w:tr w:rsidR="001D6422" w:rsidRPr="00021BBE" w14:paraId="5EC7D492"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627A4F9" w14:textId="77777777" w:rsidR="001D6422" w:rsidRPr="00021BBE" w:rsidRDefault="001D6422" w:rsidP="00BC49CF">
            <w:pPr>
              <w:spacing w:line="480" w:lineRule="auto"/>
              <w:ind w:left="-20" w:right="-20"/>
            </w:pPr>
            <w:r w:rsidRPr="00021BBE">
              <w:rPr>
                <w:rFonts w:eastAsia="Arial"/>
                <w:color w:val="000000" w:themeColor="text1"/>
              </w:rPr>
              <w:lastRenderedPageBreak/>
              <w:t>Silvera Ruiz S, Grosso CL, Tablada M, Cabrera M, Dodelson de Kremer R, Juaneda E, et al. Efficacy of citrulline supplementation to decrease the risk of pulmonary hypertension after congenital heart disease surgery. A local experience. Revista de la Facultad de Ciencias Medicas (Cordoba, Argentina). 2020;77(4):249-53.</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F09D1B" w14:textId="77777777" w:rsidR="001D6422" w:rsidRPr="00021BBE" w:rsidRDefault="001D6422" w:rsidP="00BC49CF">
            <w:pPr>
              <w:spacing w:line="480" w:lineRule="auto"/>
              <w:ind w:left="-20" w:right="-20"/>
            </w:pPr>
            <w:r w:rsidRPr="00021BBE">
              <w:rPr>
                <w:rFonts w:eastAsia="Arial"/>
                <w:color w:val="000000" w:themeColor="text1"/>
              </w:rPr>
              <w:t xml:space="preserve"> Incorrect population</w:t>
            </w:r>
          </w:p>
        </w:tc>
      </w:tr>
      <w:tr w:rsidR="001D6422" w:rsidRPr="00021BBE" w14:paraId="619B8E47"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32D4FC" w14:textId="77777777" w:rsidR="001D6422" w:rsidRPr="00021BBE" w:rsidRDefault="001D6422" w:rsidP="00BC49CF">
            <w:pPr>
              <w:spacing w:line="480" w:lineRule="auto"/>
              <w:ind w:left="-20" w:right="-20"/>
            </w:pPr>
            <w:r w:rsidRPr="00021BBE">
              <w:rPr>
                <w:rFonts w:eastAsia="Arial"/>
                <w:color w:val="000000" w:themeColor="text1"/>
              </w:rPr>
              <w:t>Smith HAB, Canter JA, Christian KG, Drinkwater DC, Scholl FG, Christman BW, et al. Nitric oxide precursors and congenital heart surgery: A randomized controlled trial of oral citrulline. Journal of Thoracic and Cardiovascular Surgery. 2006;132(1):58-65.</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218942" w14:textId="77777777" w:rsidR="001D6422" w:rsidRPr="00021BBE" w:rsidRDefault="001D6422" w:rsidP="00BC49CF">
            <w:pPr>
              <w:spacing w:line="480" w:lineRule="auto"/>
              <w:ind w:left="-20" w:right="-20"/>
            </w:pPr>
            <w:r w:rsidRPr="00021BBE">
              <w:rPr>
                <w:rFonts w:eastAsia="Arial"/>
                <w:color w:val="000000" w:themeColor="text1"/>
              </w:rPr>
              <w:t xml:space="preserve"> Incorrect population</w:t>
            </w:r>
          </w:p>
        </w:tc>
      </w:tr>
      <w:tr w:rsidR="001D6422" w:rsidRPr="00021BBE" w14:paraId="534900B4"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7AE29D0" w14:textId="77777777" w:rsidR="001D6422" w:rsidRPr="00021BBE" w:rsidRDefault="001D6422" w:rsidP="00BC49CF">
            <w:pPr>
              <w:spacing w:line="480" w:lineRule="auto"/>
              <w:ind w:left="-20" w:right="-20"/>
            </w:pPr>
            <w:r w:rsidRPr="00021BBE">
              <w:rPr>
                <w:rFonts w:eastAsia="Arial"/>
                <w:color w:val="000000" w:themeColor="text1"/>
              </w:rPr>
              <w:t>Takahashi K, Mori Y, Yamamura H, Nakanishi T, Nakazawa M. Effect of beraprost sodium on pulmonary vascular resistance in candidates for a Fontan procedure: a preliminary study. Pediatr Int. 2003;45(6):671-5.</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86D93E" w14:textId="77777777" w:rsidR="001D6422" w:rsidRPr="00021BBE" w:rsidRDefault="001D6422" w:rsidP="00BC49CF">
            <w:pPr>
              <w:spacing w:line="480" w:lineRule="auto"/>
              <w:ind w:left="-20" w:right="-20"/>
            </w:pPr>
            <w:r w:rsidRPr="00021BBE">
              <w:rPr>
                <w:rFonts w:eastAsia="Arial"/>
                <w:color w:val="000000" w:themeColor="text1"/>
              </w:rPr>
              <w:t xml:space="preserve">Incorrect study type </w:t>
            </w:r>
          </w:p>
        </w:tc>
      </w:tr>
      <w:tr w:rsidR="001D6422" w:rsidRPr="00021BBE" w14:paraId="2048764A"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2ACE9C9" w14:textId="77777777" w:rsidR="001D6422" w:rsidRPr="00021BBE" w:rsidRDefault="001D6422" w:rsidP="00BC49CF">
            <w:pPr>
              <w:spacing w:line="480" w:lineRule="auto"/>
              <w:ind w:left="-20" w:right="-20"/>
            </w:pPr>
            <w:r w:rsidRPr="00021BBE">
              <w:rPr>
                <w:rFonts w:eastAsia="Arial"/>
                <w:color w:val="000000" w:themeColor="text1"/>
              </w:rPr>
              <w:t>Vassalos A, Peng E, Young D, Walker S, Pollock J, Macarthur K, et al. Pre-operative sildenafil and pulmonary endothelial-related complications following cardiopulmonary bypass: a randomised trial in children undergoing cardiac surgery. Anaesthesia. 2011;66(6):472‐80.</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91892E" w14:textId="77777777" w:rsidR="001D6422" w:rsidRPr="00021BBE" w:rsidRDefault="001D6422" w:rsidP="00BC49CF">
            <w:pPr>
              <w:spacing w:line="480" w:lineRule="auto"/>
              <w:ind w:left="-20" w:right="-20"/>
            </w:pPr>
            <w:r w:rsidRPr="00021BBE">
              <w:rPr>
                <w:rFonts w:eastAsia="Arial"/>
                <w:color w:val="000000" w:themeColor="text1"/>
              </w:rPr>
              <w:t xml:space="preserve"> Incorrect population</w:t>
            </w:r>
          </w:p>
        </w:tc>
      </w:tr>
      <w:tr w:rsidR="001D6422" w:rsidRPr="00021BBE" w14:paraId="5FD18176"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EEC0CA" w14:textId="77777777" w:rsidR="001D6422" w:rsidRPr="00021BBE" w:rsidRDefault="001D6422" w:rsidP="00BC49CF">
            <w:pPr>
              <w:spacing w:line="480" w:lineRule="auto"/>
              <w:ind w:left="-20" w:right="-20"/>
            </w:pPr>
            <w:r w:rsidRPr="00021BBE">
              <w:rPr>
                <w:rFonts w:eastAsia="Arial"/>
                <w:color w:val="000000" w:themeColor="text1"/>
              </w:rPr>
              <w:lastRenderedPageBreak/>
              <w:t>Xu Z, Zhu L, Liu X, Gong X, Gattrell W, Liu J. Iloprost for children with pulmonary hypertension after surgery to correct congenital heart disease. Pediatric pulmonology. 2015;50(6):588-95.</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66B8EF" w14:textId="77777777" w:rsidR="001D6422" w:rsidRPr="00021BBE" w:rsidRDefault="001D6422" w:rsidP="00BC49CF">
            <w:pPr>
              <w:spacing w:line="480" w:lineRule="auto"/>
              <w:ind w:left="-20" w:right="-20"/>
            </w:pPr>
            <w:r w:rsidRPr="00021BBE">
              <w:rPr>
                <w:rFonts w:eastAsia="Arial"/>
                <w:color w:val="000000" w:themeColor="text1"/>
              </w:rPr>
              <w:t xml:space="preserve"> Incorrect population</w:t>
            </w:r>
          </w:p>
        </w:tc>
      </w:tr>
      <w:tr w:rsidR="001D6422" w:rsidRPr="00021BBE" w14:paraId="58B295AD" w14:textId="77777777" w:rsidTr="00BC49CF">
        <w:trPr>
          <w:trHeight w:val="300"/>
        </w:trPr>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608781" w14:textId="77777777" w:rsidR="001D6422" w:rsidRPr="00021BBE" w:rsidRDefault="001D6422" w:rsidP="00BC49CF">
            <w:pPr>
              <w:spacing w:line="480" w:lineRule="auto"/>
              <w:ind w:left="-20" w:right="-20"/>
            </w:pPr>
            <w:r w:rsidRPr="005F77EB">
              <w:rPr>
                <w:rFonts w:eastAsia="Arial"/>
                <w:color w:val="000000" w:themeColor="text1"/>
                <w:lang w:val="de-DE"/>
              </w:rPr>
              <w:t xml:space="preserve">Zhang CY, Ma ZS, Ma LL, Wang LX. </w:t>
            </w:r>
            <w:r w:rsidRPr="00021BBE">
              <w:rPr>
                <w:rFonts w:eastAsia="Arial"/>
                <w:color w:val="000000" w:themeColor="text1"/>
              </w:rPr>
              <w:t>Effect of prostaglandin E1 inhalation on pulmonary hypertension following corrective surgery for congenital heart disease. Experimental and clinical cardiology. 2013;18(1):13‐6.</w:t>
            </w:r>
          </w:p>
        </w:tc>
        <w:tc>
          <w:tcPr>
            <w:tcW w:w="4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3B081A" w14:textId="77777777" w:rsidR="001D6422" w:rsidRPr="00021BBE" w:rsidRDefault="001D6422" w:rsidP="00BC49CF">
            <w:pPr>
              <w:spacing w:line="480" w:lineRule="auto"/>
              <w:ind w:left="-20" w:right="-20"/>
            </w:pPr>
            <w:r w:rsidRPr="00021BBE">
              <w:rPr>
                <w:rFonts w:eastAsia="Arial"/>
                <w:color w:val="000000" w:themeColor="text1"/>
              </w:rPr>
              <w:t xml:space="preserve"> Incorrect population</w:t>
            </w:r>
          </w:p>
        </w:tc>
      </w:tr>
    </w:tbl>
    <w:p w14:paraId="0028EC86" w14:textId="77777777" w:rsidR="00044EA7" w:rsidRDefault="00044EA7"/>
    <w:sectPr w:rsidR="00044EA7" w:rsidSect="001D6422">
      <w:footerReference w:type="even" r:id="rId4"/>
      <w:footerReference w:type="default" r:id="rId5"/>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52225852"/>
      <w:docPartObj>
        <w:docPartGallery w:val="Page Numbers (Bottom of Page)"/>
        <w:docPartUnique/>
      </w:docPartObj>
    </w:sdtPr>
    <w:sdtContent>
      <w:p w14:paraId="616E95E2" w14:textId="77777777" w:rsidR="00000000" w:rsidRDefault="00000000" w:rsidP="009C343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78E860"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8225561"/>
      <w:docPartObj>
        <w:docPartGallery w:val="Page Numbers (Bottom of Page)"/>
        <w:docPartUnique/>
      </w:docPartObj>
    </w:sdtPr>
    <w:sdtContent>
      <w:p w14:paraId="74590492" w14:textId="77777777" w:rsidR="00000000" w:rsidRDefault="00000000" w:rsidP="009C343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6114A14" w14:textId="77777777" w:rsidR="00000000" w:rsidRDefault="00000000">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422"/>
    <w:rsid w:val="00025F3A"/>
    <w:rsid w:val="00044EA7"/>
    <w:rsid w:val="000D28C9"/>
    <w:rsid w:val="000E3B19"/>
    <w:rsid w:val="00106BB0"/>
    <w:rsid w:val="0011643E"/>
    <w:rsid w:val="00126DC0"/>
    <w:rsid w:val="00131A3F"/>
    <w:rsid w:val="0014529A"/>
    <w:rsid w:val="001D6422"/>
    <w:rsid w:val="0025362E"/>
    <w:rsid w:val="0027456E"/>
    <w:rsid w:val="002858C0"/>
    <w:rsid w:val="002A139B"/>
    <w:rsid w:val="002F65BE"/>
    <w:rsid w:val="00300199"/>
    <w:rsid w:val="0030408F"/>
    <w:rsid w:val="003275E0"/>
    <w:rsid w:val="003420E3"/>
    <w:rsid w:val="00352C73"/>
    <w:rsid w:val="00364257"/>
    <w:rsid w:val="003A62A6"/>
    <w:rsid w:val="003B2F31"/>
    <w:rsid w:val="003F251B"/>
    <w:rsid w:val="003F5B9E"/>
    <w:rsid w:val="004072E6"/>
    <w:rsid w:val="004823CC"/>
    <w:rsid w:val="004B2C1B"/>
    <w:rsid w:val="004D4C4C"/>
    <w:rsid w:val="004E1EEE"/>
    <w:rsid w:val="004F2D48"/>
    <w:rsid w:val="005647B1"/>
    <w:rsid w:val="00593DEF"/>
    <w:rsid w:val="005D3697"/>
    <w:rsid w:val="006220BB"/>
    <w:rsid w:val="006307DF"/>
    <w:rsid w:val="00645B18"/>
    <w:rsid w:val="006469A1"/>
    <w:rsid w:val="00692B6C"/>
    <w:rsid w:val="006A4C62"/>
    <w:rsid w:val="006B5163"/>
    <w:rsid w:val="006F69B3"/>
    <w:rsid w:val="00707D8A"/>
    <w:rsid w:val="007131E2"/>
    <w:rsid w:val="00715024"/>
    <w:rsid w:val="00766578"/>
    <w:rsid w:val="00781ABA"/>
    <w:rsid w:val="00785C11"/>
    <w:rsid w:val="007A6B8D"/>
    <w:rsid w:val="007C6843"/>
    <w:rsid w:val="007C7834"/>
    <w:rsid w:val="007E0E64"/>
    <w:rsid w:val="00890A13"/>
    <w:rsid w:val="008A15CF"/>
    <w:rsid w:val="008B37D5"/>
    <w:rsid w:val="00900F14"/>
    <w:rsid w:val="00914C68"/>
    <w:rsid w:val="00987D38"/>
    <w:rsid w:val="00991C16"/>
    <w:rsid w:val="00997E56"/>
    <w:rsid w:val="009C26C7"/>
    <w:rsid w:val="009D1594"/>
    <w:rsid w:val="009E127A"/>
    <w:rsid w:val="00A02A40"/>
    <w:rsid w:val="00A20738"/>
    <w:rsid w:val="00A60F1C"/>
    <w:rsid w:val="00AB4C1A"/>
    <w:rsid w:val="00AC2C59"/>
    <w:rsid w:val="00AD6B0B"/>
    <w:rsid w:val="00AE436D"/>
    <w:rsid w:val="00AF6D21"/>
    <w:rsid w:val="00B32AAC"/>
    <w:rsid w:val="00BA1E53"/>
    <w:rsid w:val="00BA5B81"/>
    <w:rsid w:val="00BC4B6A"/>
    <w:rsid w:val="00BE2A01"/>
    <w:rsid w:val="00C37E8C"/>
    <w:rsid w:val="00C51D6A"/>
    <w:rsid w:val="00C64328"/>
    <w:rsid w:val="00C72716"/>
    <w:rsid w:val="00C754D9"/>
    <w:rsid w:val="00C93979"/>
    <w:rsid w:val="00D30C3F"/>
    <w:rsid w:val="00D700B0"/>
    <w:rsid w:val="00D9590D"/>
    <w:rsid w:val="00DD1A3A"/>
    <w:rsid w:val="00DD2154"/>
    <w:rsid w:val="00E3370B"/>
    <w:rsid w:val="00E54585"/>
    <w:rsid w:val="00E56360"/>
    <w:rsid w:val="00E80FD7"/>
    <w:rsid w:val="00EE04DC"/>
    <w:rsid w:val="00F1536D"/>
    <w:rsid w:val="00F33A16"/>
    <w:rsid w:val="00F52797"/>
    <w:rsid w:val="00F64365"/>
    <w:rsid w:val="00F83356"/>
    <w:rsid w:val="00F87783"/>
    <w:rsid w:val="00FA2643"/>
    <w:rsid w:val="00FA716E"/>
    <w:rsid w:val="00FC1BC6"/>
    <w:rsid w:val="00FE3B8B"/>
    <w:rsid w:val="00FF6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78A4BDF"/>
  <w15:chartTrackingRefBased/>
  <w15:docId w15:val="{822FAF63-EE29-024D-98EF-F7640DEC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6422"/>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D6422"/>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1D6422"/>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1D6422"/>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1D6422"/>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1D6422"/>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1D6422"/>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1D6422"/>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1D6422"/>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1D6422"/>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64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64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64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64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64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64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64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64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6422"/>
    <w:rPr>
      <w:rFonts w:eastAsiaTheme="majorEastAsia" w:cstheme="majorBidi"/>
      <w:color w:val="272727" w:themeColor="text1" w:themeTint="D8"/>
    </w:rPr>
  </w:style>
  <w:style w:type="paragraph" w:styleId="Title">
    <w:name w:val="Title"/>
    <w:basedOn w:val="Normal"/>
    <w:next w:val="Normal"/>
    <w:link w:val="TitleChar"/>
    <w:uiPriority w:val="10"/>
    <w:qFormat/>
    <w:rsid w:val="001D642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1D64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6422"/>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1D64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6422"/>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1D6422"/>
    <w:rPr>
      <w:i/>
      <w:iCs/>
      <w:color w:val="404040" w:themeColor="text1" w:themeTint="BF"/>
    </w:rPr>
  </w:style>
  <w:style w:type="paragraph" w:styleId="ListParagraph">
    <w:name w:val="List Paragraph"/>
    <w:basedOn w:val="Normal"/>
    <w:uiPriority w:val="34"/>
    <w:qFormat/>
    <w:rsid w:val="001D6422"/>
    <w:pPr>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1D6422"/>
    <w:rPr>
      <w:i/>
      <w:iCs/>
      <w:color w:val="0F4761" w:themeColor="accent1" w:themeShade="BF"/>
    </w:rPr>
  </w:style>
  <w:style w:type="paragraph" w:styleId="IntenseQuote">
    <w:name w:val="Intense Quote"/>
    <w:basedOn w:val="Normal"/>
    <w:next w:val="Normal"/>
    <w:link w:val="IntenseQuoteChar"/>
    <w:uiPriority w:val="30"/>
    <w:qFormat/>
    <w:rsid w:val="001D642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1D6422"/>
    <w:rPr>
      <w:i/>
      <w:iCs/>
      <w:color w:val="0F4761" w:themeColor="accent1" w:themeShade="BF"/>
    </w:rPr>
  </w:style>
  <w:style w:type="character" w:styleId="IntenseReference">
    <w:name w:val="Intense Reference"/>
    <w:basedOn w:val="DefaultParagraphFont"/>
    <w:uiPriority w:val="32"/>
    <w:qFormat/>
    <w:rsid w:val="001D6422"/>
    <w:rPr>
      <w:b/>
      <w:bCs/>
      <w:smallCaps/>
      <w:color w:val="0F4761" w:themeColor="accent1" w:themeShade="BF"/>
      <w:spacing w:val="5"/>
    </w:rPr>
  </w:style>
  <w:style w:type="paragraph" w:styleId="Footer">
    <w:name w:val="footer"/>
    <w:basedOn w:val="Normal"/>
    <w:link w:val="FooterChar"/>
    <w:uiPriority w:val="99"/>
    <w:unhideWhenUsed/>
    <w:rsid w:val="001D6422"/>
    <w:pPr>
      <w:tabs>
        <w:tab w:val="center" w:pos="4680"/>
        <w:tab w:val="right" w:pos="9360"/>
      </w:tabs>
      <w:spacing w:line="259" w:lineRule="auto"/>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1D6422"/>
    <w:rPr>
      <w:kern w:val="0"/>
      <w:sz w:val="22"/>
      <w:szCs w:val="22"/>
      <w14:ligatures w14:val="none"/>
    </w:rPr>
  </w:style>
  <w:style w:type="table" w:styleId="TableGrid">
    <w:name w:val="Table Grid"/>
    <w:basedOn w:val="TableNormal"/>
    <w:uiPriority w:val="59"/>
    <w:rsid w:val="001D6422"/>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geNumber">
    <w:name w:val="page number"/>
    <w:basedOn w:val="DefaultParagraphFont"/>
    <w:uiPriority w:val="99"/>
    <w:semiHidden/>
    <w:unhideWhenUsed/>
    <w:rsid w:val="001D6422"/>
  </w:style>
  <w:style w:type="character" w:styleId="LineNumber">
    <w:name w:val="line number"/>
    <w:basedOn w:val="DefaultParagraphFont"/>
    <w:uiPriority w:val="99"/>
    <w:semiHidden/>
    <w:unhideWhenUsed/>
    <w:rsid w:val="001D6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3233</Characters>
  <Application>Microsoft Office Word</Application>
  <DocSecurity>0</DocSecurity>
  <Lines>26</Lines>
  <Paragraphs>7</Paragraphs>
  <ScaleCrop>false</ScaleCrop>
  <Company/>
  <LinksUpToDate>false</LinksUpToDate>
  <CharactersWithSpaces>3793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2025-04-15T15:35:00Z</dcterms:created>
  <dcterms:modified xsi:type="dcterms:W3CDTF">2025-04-15T15:36:00Z</dcterms:modified>
</cp:coreProperties>
</file>