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E9305" w14:textId="77777777" w:rsidR="00755FA7" w:rsidRDefault="00755FA7"/>
    <w:p w14:paraId="74AC5482" w14:textId="77777777" w:rsidR="006D4E7C" w:rsidRPr="006D4E7C" w:rsidRDefault="006D4E7C" w:rsidP="006D4E7C">
      <w:pPr>
        <w:jc w:val="center"/>
        <w:rPr>
          <w:rFonts w:ascii="Calibri" w:hAnsi="Calibri" w:cs="Calibri"/>
          <w:sz w:val="40"/>
          <w:szCs w:val="40"/>
        </w:rPr>
      </w:pPr>
      <w:r w:rsidRPr="006D4E7C">
        <w:rPr>
          <w:rFonts w:ascii="Calibri" w:eastAsiaTheme="majorEastAsia" w:hAnsi="Calibri" w:cs="Calibri"/>
          <w:sz w:val="40"/>
          <w:szCs w:val="40"/>
        </w:rPr>
        <w:t>Outcomes of Mechanical and Bioprosthetic Surgical Valve Replacements in Egypt: Evidence from a Literature Review and Experts’ Survey</w:t>
      </w:r>
    </w:p>
    <w:p w14:paraId="339CC332" w14:textId="77777777" w:rsidR="006D4E7C" w:rsidRDefault="006D4E7C" w:rsidP="006D4E7C"/>
    <w:p w14:paraId="6753B14B" w14:textId="0FE796C2" w:rsidR="00552C7D" w:rsidRDefault="00004D7A" w:rsidP="006D4E7C">
      <w:r>
        <w:t xml:space="preserve">Appendix 1: </w:t>
      </w:r>
      <w:r w:rsidRPr="00004D7A">
        <w:t>Population, Intervention, Comparator, Outcomes, and Study design (PICOS)</w:t>
      </w:r>
    </w:p>
    <w:p w14:paraId="02DC2C4B" w14:textId="77777777" w:rsidR="00552C7D" w:rsidRDefault="00552C7D"/>
    <w:tbl>
      <w:tblPr>
        <w:tblStyle w:val="GridTable4-Accent2"/>
        <w:tblW w:w="5000" w:type="pct"/>
        <w:tblLayout w:type="fixed"/>
        <w:tblLook w:val="04A0" w:firstRow="1" w:lastRow="0" w:firstColumn="1" w:lastColumn="0" w:noHBand="0" w:noVBand="1"/>
      </w:tblPr>
      <w:tblGrid>
        <w:gridCol w:w="1414"/>
        <w:gridCol w:w="3263"/>
        <w:gridCol w:w="4673"/>
      </w:tblGrid>
      <w:tr w:rsidR="00376852" w:rsidRPr="00275C40" w14:paraId="76CB0BA4" w14:textId="77777777" w:rsidTr="00C67F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pct"/>
            <w:noWrap/>
            <w:hideMark/>
          </w:tcPr>
          <w:p w14:paraId="22AA8A0B" w14:textId="77777777" w:rsidR="00376852" w:rsidRPr="00275C40" w:rsidRDefault="00376852" w:rsidP="00C67FFD">
            <w:pPr>
              <w:rPr>
                <w:rFonts w:ascii="Calibri" w:eastAsia="Times New Roman" w:hAnsi="Calibri" w:cs="Calibri"/>
                <w:color w:val="FFFFFF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FFFFFF"/>
                <w:lang w:val="en-AE" w:eastAsia="en-AE"/>
              </w:rPr>
              <w:t>Criterion</w:t>
            </w:r>
          </w:p>
        </w:tc>
        <w:tc>
          <w:tcPr>
            <w:tcW w:w="1745" w:type="pct"/>
            <w:noWrap/>
            <w:hideMark/>
          </w:tcPr>
          <w:p w14:paraId="037E970D" w14:textId="77777777" w:rsidR="00376852" w:rsidRPr="00275C40" w:rsidRDefault="00376852" w:rsidP="00C67F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FFFF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FFFFFF"/>
                <w:lang w:val="en-AE" w:eastAsia="en-AE"/>
              </w:rPr>
              <w:t>Inclusion criteria</w:t>
            </w:r>
          </w:p>
        </w:tc>
        <w:tc>
          <w:tcPr>
            <w:tcW w:w="2499" w:type="pct"/>
            <w:noWrap/>
            <w:hideMark/>
          </w:tcPr>
          <w:p w14:paraId="2A75730A" w14:textId="77777777" w:rsidR="00376852" w:rsidRPr="00275C40" w:rsidRDefault="00376852" w:rsidP="00C67F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FFFF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FFFFFF"/>
                <w:lang w:val="en-AE" w:eastAsia="en-AE"/>
              </w:rPr>
              <w:t>Exclusion criteria</w:t>
            </w:r>
          </w:p>
        </w:tc>
      </w:tr>
      <w:tr w:rsidR="00376852" w:rsidRPr="00275C40" w14:paraId="725FD91F" w14:textId="77777777" w:rsidTr="00C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pct"/>
            <w:noWrap/>
            <w:hideMark/>
          </w:tcPr>
          <w:p w14:paraId="668A7794" w14:textId="77777777" w:rsidR="00376852" w:rsidRPr="00275C40" w:rsidRDefault="00376852" w:rsidP="00C67FFD">
            <w:pPr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Patients</w:t>
            </w:r>
          </w:p>
        </w:tc>
        <w:tc>
          <w:tcPr>
            <w:tcW w:w="1745" w:type="pct"/>
            <w:hideMark/>
          </w:tcPr>
          <w:p w14:paraId="691A6345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-Adult patients (≥18 years) who underwent aortic or mitral valve replacement surgery</w:t>
            </w:r>
          </w:p>
        </w:tc>
        <w:tc>
          <w:tcPr>
            <w:tcW w:w="2499" w:type="pct"/>
            <w:noWrap/>
            <w:hideMark/>
          </w:tcPr>
          <w:p w14:paraId="345F4D98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-Children (mean age in study &lt;18)</w:t>
            </w:r>
          </w:p>
          <w:p w14:paraId="47309FE7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-No valve replacement surgery</w:t>
            </w:r>
          </w:p>
          <w:p w14:paraId="2F733909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-Pulmonary or tricuspid valve replacement</w:t>
            </w:r>
          </w:p>
        </w:tc>
      </w:tr>
      <w:tr w:rsidR="00376852" w:rsidRPr="00275C40" w14:paraId="0456C20C" w14:textId="77777777" w:rsidTr="00C67FFD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pct"/>
            <w:noWrap/>
            <w:hideMark/>
          </w:tcPr>
          <w:p w14:paraId="621965B5" w14:textId="77777777" w:rsidR="00376852" w:rsidRPr="00275C40" w:rsidRDefault="00376852" w:rsidP="00C67FFD">
            <w:pPr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Intervention</w:t>
            </w:r>
          </w:p>
        </w:tc>
        <w:tc>
          <w:tcPr>
            <w:tcW w:w="1745" w:type="pct"/>
            <w:noWrap/>
            <w:hideMark/>
          </w:tcPr>
          <w:p w14:paraId="035FBCE1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AE"/>
              </w:rPr>
            </w:pPr>
            <w:r w:rsidRPr="00275C40">
              <w:rPr>
                <w:color w:val="000000"/>
              </w:rPr>
              <w:t>-Surgical valve replacement with mechanical valves or tissue valves</w:t>
            </w:r>
          </w:p>
          <w:p w14:paraId="0ADDBB57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</w:p>
        </w:tc>
        <w:tc>
          <w:tcPr>
            <w:tcW w:w="2499" w:type="pct"/>
            <w:hideMark/>
          </w:tcPr>
          <w:p w14:paraId="7768A389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AE"/>
              </w:rPr>
            </w:pPr>
            <w:r w:rsidRPr="00275C40">
              <w:rPr>
                <w:color w:val="000000"/>
              </w:rPr>
              <w:t>-Studies that do not include surgical valve replacement with mechanical or tissue valves</w:t>
            </w:r>
            <w:r w:rsidRPr="00275C40">
              <w:rPr>
                <w:color w:val="242424"/>
              </w:rPr>
              <w:t> </w:t>
            </w:r>
            <w:r w:rsidRPr="00275C40">
              <w:rPr>
                <w:color w:val="000000"/>
              </w:rPr>
              <w:t>(e.g., Transcatheter heart valves,  TAVI/TAVR Valves, Homograft (Allograft) valves, autografts (Ross Procedure)</w:t>
            </w:r>
            <w:r w:rsidRPr="00275C40">
              <w:rPr>
                <w:color w:val="242424"/>
              </w:rPr>
              <w:t> or </w:t>
            </w:r>
            <w:r w:rsidRPr="00275C40">
              <w:rPr>
                <w:color w:val="000000"/>
              </w:rPr>
              <w:t>valve repair).</w:t>
            </w:r>
          </w:p>
        </w:tc>
      </w:tr>
      <w:tr w:rsidR="00376852" w:rsidRPr="00275C40" w14:paraId="555EE51C" w14:textId="77777777" w:rsidTr="00C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pct"/>
            <w:noWrap/>
            <w:hideMark/>
          </w:tcPr>
          <w:p w14:paraId="0F5F02D4" w14:textId="77777777" w:rsidR="00376852" w:rsidRPr="00275C40" w:rsidRDefault="00376852" w:rsidP="00C67FFD">
            <w:pPr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Comparator</w:t>
            </w:r>
          </w:p>
        </w:tc>
        <w:tc>
          <w:tcPr>
            <w:tcW w:w="1745" w:type="pct"/>
            <w:noWrap/>
            <w:hideMark/>
          </w:tcPr>
          <w:p w14:paraId="4AFC48E5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-Not applicable</w:t>
            </w:r>
          </w:p>
        </w:tc>
        <w:tc>
          <w:tcPr>
            <w:tcW w:w="2499" w:type="pct"/>
            <w:noWrap/>
            <w:hideMark/>
          </w:tcPr>
          <w:p w14:paraId="4B8556C7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-Not applicable</w:t>
            </w:r>
          </w:p>
        </w:tc>
      </w:tr>
      <w:tr w:rsidR="00376852" w:rsidRPr="00275C40" w14:paraId="4E488C4D" w14:textId="77777777" w:rsidTr="00C67FFD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pct"/>
            <w:noWrap/>
            <w:hideMark/>
          </w:tcPr>
          <w:p w14:paraId="348854B0" w14:textId="77777777" w:rsidR="00376852" w:rsidRPr="00275C40" w:rsidRDefault="00376852" w:rsidP="00C67FFD">
            <w:pPr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Outcomes</w:t>
            </w:r>
          </w:p>
        </w:tc>
        <w:tc>
          <w:tcPr>
            <w:tcW w:w="1745" w:type="pct"/>
            <w:hideMark/>
          </w:tcPr>
          <w:p w14:paraId="6D25C4E4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 xml:space="preserve">-Reoperation rates </w:t>
            </w:r>
          </w:p>
          <w:p w14:paraId="5CFF60AD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-Mortality or survival</w:t>
            </w:r>
          </w:p>
          <w:p w14:paraId="4C2CC4CF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-Stroke</w:t>
            </w:r>
          </w:p>
          <w:p w14:paraId="6C870B9E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-Bleeding events</w:t>
            </w:r>
          </w:p>
          <w:p w14:paraId="13D5A51C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-Thromboembolic events</w:t>
            </w:r>
          </w:p>
          <w:p w14:paraId="062BEEA1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 Compliance to anticoagulation</w:t>
            </w:r>
          </w:p>
        </w:tc>
        <w:tc>
          <w:tcPr>
            <w:tcW w:w="2499" w:type="pct"/>
            <w:hideMark/>
          </w:tcPr>
          <w:p w14:paraId="5E6E4697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-Studies not differentiating outcomes by valve type</w:t>
            </w:r>
          </w:p>
          <w:p w14:paraId="47970039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-Outcomes influenced by valve replacement and another factor (e.g., another drug/ haematological disease)</w:t>
            </w:r>
          </w:p>
          <w:p w14:paraId="06F05DBB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-No relevant outcomes</w:t>
            </w:r>
          </w:p>
        </w:tc>
      </w:tr>
      <w:tr w:rsidR="00376852" w:rsidRPr="00275C40" w14:paraId="375A4BDD" w14:textId="77777777" w:rsidTr="00C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pct"/>
            <w:noWrap/>
            <w:hideMark/>
          </w:tcPr>
          <w:p w14:paraId="503B36BF" w14:textId="77777777" w:rsidR="00376852" w:rsidRPr="00275C40" w:rsidRDefault="00376852" w:rsidP="00C67FFD">
            <w:pPr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Study design</w:t>
            </w:r>
          </w:p>
        </w:tc>
        <w:tc>
          <w:tcPr>
            <w:tcW w:w="1745" w:type="pct"/>
            <w:hideMark/>
          </w:tcPr>
          <w:p w14:paraId="0AB00FE3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-Observational studies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-Interventional studies</w:t>
            </w:r>
          </w:p>
          <w:p w14:paraId="1F5E2A6B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-Case series &gt; 10 patients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-Reports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-Posters/ abstracts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-Theses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-Dissertations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-registries/databases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Systematic reviews and meta-analyses were included to check references for any missed references (snowballing), but no data were extracted directly from them</w:t>
            </w:r>
          </w:p>
        </w:tc>
        <w:tc>
          <w:tcPr>
            <w:tcW w:w="2499" w:type="pct"/>
            <w:hideMark/>
          </w:tcPr>
          <w:p w14:paraId="7A8E1220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-Case reports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-Case series with ≤10 patients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-Non-systematic reviews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-Protocols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-Books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-Surveys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-Questionnaires</w:t>
            </w: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br/>
              <w:t>-Model-based studies</w:t>
            </w:r>
          </w:p>
        </w:tc>
      </w:tr>
      <w:tr w:rsidR="00376852" w:rsidRPr="00275C40" w14:paraId="4325691B" w14:textId="77777777" w:rsidTr="00C67F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pct"/>
            <w:noWrap/>
            <w:hideMark/>
          </w:tcPr>
          <w:p w14:paraId="1E1D290A" w14:textId="77777777" w:rsidR="00376852" w:rsidRPr="00275C40" w:rsidRDefault="00376852" w:rsidP="00C67FFD">
            <w:pPr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Language</w:t>
            </w:r>
          </w:p>
        </w:tc>
        <w:tc>
          <w:tcPr>
            <w:tcW w:w="1745" w:type="pct"/>
            <w:noWrap/>
            <w:hideMark/>
          </w:tcPr>
          <w:p w14:paraId="5FBC309C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-Arabic or English studies</w:t>
            </w:r>
          </w:p>
        </w:tc>
        <w:tc>
          <w:tcPr>
            <w:tcW w:w="2499" w:type="pct"/>
            <w:noWrap/>
            <w:hideMark/>
          </w:tcPr>
          <w:p w14:paraId="51A1B18E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-Any other language</w:t>
            </w:r>
          </w:p>
        </w:tc>
      </w:tr>
      <w:tr w:rsidR="00376852" w:rsidRPr="00275C40" w14:paraId="66D5957C" w14:textId="77777777" w:rsidTr="00C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pct"/>
            <w:noWrap/>
            <w:hideMark/>
          </w:tcPr>
          <w:p w14:paraId="0D3E0674" w14:textId="77777777" w:rsidR="00376852" w:rsidRPr="00275C40" w:rsidRDefault="00376852" w:rsidP="00C67FFD">
            <w:pPr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Region</w:t>
            </w:r>
          </w:p>
        </w:tc>
        <w:tc>
          <w:tcPr>
            <w:tcW w:w="1745" w:type="pct"/>
            <w:noWrap/>
            <w:hideMark/>
          </w:tcPr>
          <w:p w14:paraId="1F8A5B39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-Egypt</w:t>
            </w:r>
          </w:p>
        </w:tc>
        <w:tc>
          <w:tcPr>
            <w:tcW w:w="2499" w:type="pct"/>
            <w:noWrap/>
            <w:hideMark/>
          </w:tcPr>
          <w:p w14:paraId="19DA4D56" w14:textId="77777777" w:rsidR="00376852" w:rsidRPr="00275C40" w:rsidRDefault="00376852" w:rsidP="00C6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-Any other country</w:t>
            </w:r>
          </w:p>
        </w:tc>
      </w:tr>
      <w:tr w:rsidR="00376852" w:rsidRPr="00275C40" w14:paraId="12E27355" w14:textId="77777777" w:rsidTr="00C67FF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6" w:type="pct"/>
            <w:noWrap/>
            <w:hideMark/>
          </w:tcPr>
          <w:p w14:paraId="2AD4AD8F" w14:textId="77777777" w:rsidR="00376852" w:rsidRPr="00275C40" w:rsidRDefault="00376852" w:rsidP="00C67FFD">
            <w:pPr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lastRenderedPageBreak/>
              <w:t>Publication date</w:t>
            </w:r>
          </w:p>
        </w:tc>
        <w:tc>
          <w:tcPr>
            <w:tcW w:w="1745" w:type="pct"/>
            <w:noWrap/>
            <w:hideMark/>
          </w:tcPr>
          <w:p w14:paraId="3C1315ED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-Published after January 1, 2010</w:t>
            </w:r>
          </w:p>
        </w:tc>
        <w:tc>
          <w:tcPr>
            <w:tcW w:w="2499" w:type="pct"/>
            <w:noWrap/>
            <w:hideMark/>
          </w:tcPr>
          <w:p w14:paraId="433CE9CF" w14:textId="77777777" w:rsidR="00376852" w:rsidRPr="00275C40" w:rsidRDefault="00376852" w:rsidP="00C6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AE" w:eastAsia="en-AE"/>
              </w:rPr>
            </w:pPr>
            <w:r w:rsidRPr="00275C40">
              <w:rPr>
                <w:rFonts w:ascii="Calibri" w:eastAsia="Times New Roman" w:hAnsi="Calibri" w:cs="Calibri"/>
                <w:color w:val="000000"/>
                <w:lang w:val="en-AE" w:eastAsia="en-AE"/>
              </w:rPr>
              <w:t>-Published before January 1, 2010</w:t>
            </w:r>
          </w:p>
        </w:tc>
      </w:tr>
    </w:tbl>
    <w:p w14:paraId="1F81EAA2" w14:textId="77777777" w:rsidR="00552C7D" w:rsidRDefault="00552C7D"/>
    <w:sectPr w:rsidR="00552C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1B8BA" w14:textId="77777777" w:rsidR="009E7977" w:rsidRDefault="009E7977" w:rsidP="00552C7D">
      <w:pPr>
        <w:spacing w:line="240" w:lineRule="auto"/>
      </w:pPr>
      <w:r>
        <w:separator/>
      </w:r>
    </w:p>
  </w:endnote>
  <w:endnote w:type="continuationSeparator" w:id="0">
    <w:p w14:paraId="1F4757E7" w14:textId="77777777" w:rsidR="009E7977" w:rsidRDefault="009E7977" w:rsidP="00552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8F4FF" w14:textId="77777777" w:rsidR="009E7977" w:rsidRDefault="009E7977" w:rsidP="00552C7D">
      <w:pPr>
        <w:spacing w:line="240" w:lineRule="auto"/>
      </w:pPr>
      <w:r>
        <w:separator/>
      </w:r>
    </w:p>
  </w:footnote>
  <w:footnote w:type="continuationSeparator" w:id="0">
    <w:p w14:paraId="05E08B55" w14:textId="77777777" w:rsidR="009E7977" w:rsidRDefault="009E7977" w:rsidP="00552C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E4B2A" w14:textId="77777777" w:rsidR="00552C7D" w:rsidRDefault="00552C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E6D66"/>
    <w:multiLevelType w:val="hybridMultilevel"/>
    <w:tmpl w:val="6DFCCE1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F104E"/>
    <w:multiLevelType w:val="hybridMultilevel"/>
    <w:tmpl w:val="846CA78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73D53"/>
    <w:multiLevelType w:val="hybridMultilevel"/>
    <w:tmpl w:val="A60A567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40158"/>
    <w:multiLevelType w:val="hybridMultilevel"/>
    <w:tmpl w:val="9C04BA90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6521C"/>
    <w:multiLevelType w:val="hybridMultilevel"/>
    <w:tmpl w:val="600AE15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375096">
    <w:abstractNumId w:val="3"/>
  </w:num>
  <w:num w:numId="2" w16cid:durableId="407383508">
    <w:abstractNumId w:val="0"/>
  </w:num>
  <w:num w:numId="3" w16cid:durableId="1990787467">
    <w:abstractNumId w:val="2"/>
  </w:num>
  <w:num w:numId="4" w16cid:durableId="32924971">
    <w:abstractNumId w:val="4"/>
  </w:num>
  <w:num w:numId="5" w16cid:durableId="1373993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7D"/>
    <w:rsid w:val="00004D7A"/>
    <w:rsid w:val="002621A3"/>
    <w:rsid w:val="00297DD1"/>
    <w:rsid w:val="00376852"/>
    <w:rsid w:val="003957CA"/>
    <w:rsid w:val="00552C7D"/>
    <w:rsid w:val="005B4656"/>
    <w:rsid w:val="006A2771"/>
    <w:rsid w:val="006D4E7C"/>
    <w:rsid w:val="006D6BFB"/>
    <w:rsid w:val="00755FA7"/>
    <w:rsid w:val="00922851"/>
    <w:rsid w:val="009E7977"/>
    <w:rsid w:val="00A7018F"/>
    <w:rsid w:val="00A95915"/>
    <w:rsid w:val="00B42D48"/>
    <w:rsid w:val="00C13E3F"/>
    <w:rsid w:val="00C178ED"/>
    <w:rsid w:val="00C8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68D4D"/>
  <w15:chartTrackingRefBased/>
  <w15:docId w15:val="{4EBD2FC0-613C-4E19-BAC1-A36F616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C7D"/>
    <w:pPr>
      <w:spacing w:after="0" w:line="276" w:lineRule="auto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2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C7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C7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C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C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C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C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C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C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C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C7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C7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52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C7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C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C7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C7D"/>
    <w:rPr>
      <w:b/>
      <w:bCs/>
      <w:smallCaps/>
      <w:color w:val="2E74B5" w:themeColor="accent1" w:themeShade="BF"/>
      <w:spacing w:val="5"/>
    </w:rPr>
  </w:style>
  <w:style w:type="table" w:styleId="ListTable4-Accent6">
    <w:name w:val="List Table 4 Accent 6"/>
    <w:basedOn w:val="TableNormal"/>
    <w:uiPriority w:val="49"/>
    <w:rsid w:val="00552C7D"/>
    <w:pPr>
      <w:spacing w:after="0" w:line="240" w:lineRule="auto"/>
    </w:pPr>
    <w:rPr>
      <w:kern w:val="0"/>
      <w:lang w:val="hu-HU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4-Accent2">
    <w:name w:val="List Table 4 Accent 2"/>
    <w:basedOn w:val="TableNormal"/>
    <w:uiPriority w:val="49"/>
    <w:rsid w:val="006D4E7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Revision">
    <w:name w:val="Revision"/>
    <w:hidden/>
    <w:uiPriority w:val="99"/>
    <w:semiHidden/>
    <w:rsid w:val="00A7018F"/>
    <w:pPr>
      <w:spacing w:after="0" w:line="240" w:lineRule="auto"/>
    </w:pPr>
    <w:rPr>
      <w:kern w:val="0"/>
      <w14:ligatures w14:val="none"/>
    </w:rPr>
  </w:style>
  <w:style w:type="table" w:styleId="GridTable4-Accent2">
    <w:name w:val="Grid Table 4 Accent 2"/>
    <w:basedOn w:val="TableNormal"/>
    <w:uiPriority w:val="49"/>
    <w:rsid w:val="0037685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Baher ElEzbawy</dc:creator>
  <cp:keywords/>
  <dc:description/>
  <cp:lastModifiedBy>Baher ElEzbawy</cp:lastModifiedBy>
  <cp:revision>4</cp:revision>
  <dcterms:created xsi:type="dcterms:W3CDTF">2025-10-29T07:38:00Z</dcterms:created>
  <dcterms:modified xsi:type="dcterms:W3CDTF">2025-10-29T07:44:00Z</dcterms:modified>
</cp:coreProperties>
</file>