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E9305" w14:textId="77777777" w:rsidR="00755FA7" w:rsidRDefault="00755FA7"/>
    <w:p w14:paraId="74AC5482" w14:textId="77777777" w:rsidR="006D4E7C" w:rsidRPr="006D4E7C" w:rsidRDefault="006D4E7C" w:rsidP="006D4E7C">
      <w:pPr>
        <w:jc w:val="center"/>
        <w:rPr>
          <w:rFonts w:ascii="Calibri" w:hAnsi="Calibri" w:cs="Calibri"/>
          <w:sz w:val="40"/>
          <w:szCs w:val="40"/>
        </w:rPr>
      </w:pPr>
      <w:r w:rsidRPr="006D4E7C">
        <w:rPr>
          <w:rFonts w:ascii="Calibri" w:eastAsiaTheme="majorEastAsia" w:hAnsi="Calibri" w:cs="Calibri"/>
          <w:sz w:val="40"/>
          <w:szCs w:val="40"/>
        </w:rPr>
        <w:t>Outcomes of Mechanical and Bioprosthetic Surgical Valve Replacements in Egypt: Evidence from a Literature Review and Experts’ Survey</w:t>
      </w:r>
    </w:p>
    <w:p w14:paraId="339CC332" w14:textId="77777777" w:rsidR="006D4E7C" w:rsidRDefault="006D4E7C" w:rsidP="006D4E7C"/>
    <w:p w14:paraId="6753B14B" w14:textId="0FDEA311" w:rsidR="00552C7D" w:rsidRDefault="006D4E7C" w:rsidP="006D4E7C">
      <w:r w:rsidRPr="00717B6D">
        <w:t xml:space="preserve">Appendix </w:t>
      </w:r>
      <w:r w:rsidR="003854F4">
        <w:t>4</w:t>
      </w:r>
      <w:r w:rsidRPr="00717B6D">
        <w:t xml:space="preserve">: </w:t>
      </w:r>
      <w:r w:rsidR="00717B6D" w:rsidRPr="00717B6D">
        <w:t>Odds ratios of outcomes of interest reported by Singab at al.</w:t>
      </w:r>
    </w:p>
    <w:p w14:paraId="02DC2C4B" w14:textId="77777777" w:rsidR="00552C7D" w:rsidRDefault="00552C7D"/>
    <w:tbl>
      <w:tblPr>
        <w:tblStyle w:val="GridTable5Dark-Accent2"/>
        <w:tblW w:w="5000" w:type="pct"/>
        <w:tblLook w:val="0420" w:firstRow="1" w:lastRow="0" w:firstColumn="0" w:lastColumn="0" w:noHBand="0" w:noVBand="1"/>
      </w:tblPr>
      <w:tblGrid>
        <w:gridCol w:w="3823"/>
        <w:gridCol w:w="2412"/>
        <w:gridCol w:w="3115"/>
      </w:tblGrid>
      <w:tr w:rsidR="00717B6D" w:rsidRPr="00275C40" w14:paraId="6D08975D" w14:textId="77777777" w:rsidTr="00C67F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21"/>
        </w:trPr>
        <w:tc>
          <w:tcPr>
            <w:tcW w:w="2044" w:type="pct"/>
            <w:hideMark/>
          </w:tcPr>
          <w:p w14:paraId="1B128C5A" w14:textId="77777777" w:rsidR="00717B6D" w:rsidRPr="00275C40" w:rsidRDefault="00717B6D" w:rsidP="00C67FFD">
            <w:pPr>
              <w:ind w:left="360"/>
              <w:rPr>
                <w:b w:val="0"/>
                <w:bCs w:val="0"/>
              </w:rPr>
            </w:pPr>
            <w:r w:rsidRPr="00275C40">
              <w:t>Outcome</w:t>
            </w:r>
          </w:p>
        </w:tc>
        <w:tc>
          <w:tcPr>
            <w:tcW w:w="1290" w:type="pct"/>
            <w:hideMark/>
          </w:tcPr>
          <w:p w14:paraId="319F1CA8" w14:textId="77777777" w:rsidR="00717B6D" w:rsidRPr="00275C40" w:rsidRDefault="00717B6D" w:rsidP="00C67FFD">
            <w:pPr>
              <w:ind w:left="360"/>
              <w:rPr>
                <w:b w:val="0"/>
                <w:bCs w:val="0"/>
              </w:rPr>
            </w:pPr>
            <w:r w:rsidRPr="00275C40">
              <w:t>Odds ratio</w:t>
            </w:r>
            <w:r w:rsidRPr="00275C40">
              <w:rPr>
                <w:b w:val="0"/>
                <w:bCs w:val="0"/>
              </w:rPr>
              <w:t xml:space="preserve"> (</w:t>
            </w:r>
            <w:r w:rsidRPr="00275C40">
              <w:t>Bio</w:t>
            </w:r>
            <w:r w:rsidRPr="00275C40">
              <w:rPr>
                <w:b w:val="0"/>
                <w:bCs w:val="0"/>
              </w:rPr>
              <w:t>prosthetic valves</w:t>
            </w:r>
            <w:r w:rsidRPr="00275C40">
              <w:t xml:space="preserve"> vs mechanical </w:t>
            </w:r>
            <w:r w:rsidRPr="00275C40">
              <w:rPr>
                <w:b w:val="0"/>
                <w:bCs w:val="0"/>
              </w:rPr>
              <w:t xml:space="preserve">valves) </w:t>
            </w:r>
          </w:p>
        </w:tc>
        <w:tc>
          <w:tcPr>
            <w:tcW w:w="1666" w:type="pct"/>
            <w:hideMark/>
          </w:tcPr>
          <w:p w14:paraId="401B2934" w14:textId="77777777" w:rsidR="00717B6D" w:rsidRPr="00275C40" w:rsidRDefault="00717B6D" w:rsidP="00C67FFD">
            <w:pPr>
              <w:ind w:left="360"/>
              <w:rPr>
                <w:b w:val="0"/>
                <w:bCs w:val="0"/>
              </w:rPr>
            </w:pPr>
            <w:r w:rsidRPr="00275C40">
              <w:t>Confidence interval</w:t>
            </w:r>
          </w:p>
        </w:tc>
      </w:tr>
      <w:tr w:rsidR="00717B6D" w:rsidRPr="00275C40" w14:paraId="66F2FA64" w14:textId="77777777" w:rsidTr="00C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tcW w:w="2044" w:type="pct"/>
            <w:hideMark/>
          </w:tcPr>
          <w:p w14:paraId="7DA3C511" w14:textId="77777777" w:rsidR="00717B6D" w:rsidRPr="00275C40" w:rsidRDefault="00717B6D" w:rsidP="00C67FFD">
            <w:pPr>
              <w:ind w:left="360"/>
            </w:pPr>
            <w:r w:rsidRPr="00275C40">
              <w:rPr>
                <w:lang w:val="hu-HU"/>
              </w:rPr>
              <w:t>Re-exploration for bleeding</w:t>
            </w:r>
          </w:p>
        </w:tc>
        <w:tc>
          <w:tcPr>
            <w:tcW w:w="1290" w:type="pct"/>
            <w:hideMark/>
          </w:tcPr>
          <w:p w14:paraId="0ECC07CD" w14:textId="77777777" w:rsidR="00717B6D" w:rsidRPr="00275C40" w:rsidRDefault="00717B6D" w:rsidP="00C67FFD">
            <w:pPr>
              <w:ind w:left="360"/>
              <w:jc w:val="center"/>
              <w:rPr>
                <w:b/>
                <w:bCs/>
              </w:rPr>
            </w:pPr>
            <w:r w:rsidRPr="00275C40">
              <w:rPr>
                <w:b/>
                <w:bCs/>
                <w:lang w:val="en-AE"/>
              </w:rPr>
              <w:t>0.21*</w:t>
            </w:r>
          </w:p>
        </w:tc>
        <w:tc>
          <w:tcPr>
            <w:tcW w:w="1666" w:type="pct"/>
            <w:hideMark/>
          </w:tcPr>
          <w:p w14:paraId="4454093B" w14:textId="77777777" w:rsidR="00717B6D" w:rsidRPr="00275C40" w:rsidRDefault="00717B6D" w:rsidP="00C67FFD">
            <w:pPr>
              <w:ind w:left="360"/>
              <w:jc w:val="center"/>
            </w:pPr>
            <w:r w:rsidRPr="00275C40">
              <w:rPr>
                <w:lang w:val="en-AE"/>
              </w:rPr>
              <w:t>0.1047–0.4023</w:t>
            </w:r>
          </w:p>
        </w:tc>
      </w:tr>
      <w:tr w:rsidR="00717B6D" w:rsidRPr="00275C40" w14:paraId="5613CD24" w14:textId="77777777" w:rsidTr="00C67FFD">
        <w:trPr>
          <w:trHeight w:val="448"/>
        </w:trPr>
        <w:tc>
          <w:tcPr>
            <w:tcW w:w="2044" w:type="pct"/>
            <w:hideMark/>
          </w:tcPr>
          <w:p w14:paraId="127CC5FE" w14:textId="77777777" w:rsidR="00717B6D" w:rsidRPr="00275C40" w:rsidRDefault="00717B6D" w:rsidP="00C67FFD">
            <w:pPr>
              <w:ind w:left="360"/>
            </w:pPr>
            <w:r w:rsidRPr="00275C40">
              <w:rPr>
                <w:lang w:val="hu-HU"/>
              </w:rPr>
              <w:t>Long-term mortality</w:t>
            </w:r>
            <w:r w:rsidRPr="00275C40">
              <w:t xml:space="preserve"> (10-years) </w:t>
            </w:r>
          </w:p>
        </w:tc>
        <w:tc>
          <w:tcPr>
            <w:tcW w:w="1290" w:type="pct"/>
            <w:hideMark/>
          </w:tcPr>
          <w:p w14:paraId="57C457D2" w14:textId="77777777" w:rsidR="00717B6D" w:rsidRPr="00275C40" w:rsidRDefault="00717B6D" w:rsidP="00C67FFD">
            <w:pPr>
              <w:ind w:left="360"/>
              <w:jc w:val="center"/>
              <w:rPr>
                <w:b/>
                <w:bCs/>
              </w:rPr>
            </w:pPr>
            <w:r w:rsidRPr="00275C40">
              <w:rPr>
                <w:b/>
                <w:bCs/>
                <w:lang w:val="en-AE"/>
              </w:rPr>
              <w:t>0.32*</w:t>
            </w:r>
          </w:p>
        </w:tc>
        <w:tc>
          <w:tcPr>
            <w:tcW w:w="1666" w:type="pct"/>
            <w:hideMark/>
          </w:tcPr>
          <w:p w14:paraId="2269F61F" w14:textId="77777777" w:rsidR="00717B6D" w:rsidRPr="00275C40" w:rsidRDefault="00717B6D" w:rsidP="00C67FFD">
            <w:pPr>
              <w:ind w:left="360"/>
              <w:jc w:val="center"/>
            </w:pPr>
            <w:r w:rsidRPr="00275C40">
              <w:rPr>
                <w:lang w:val="en-AE"/>
              </w:rPr>
              <w:t>0.1252–0.8352</w:t>
            </w:r>
          </w:p>
        </w:tc>
      </w:tr>
      <w:tr w:rsidR="00717B6D" w:rsidRPr="00275C40" w14:paraId="00EE1555" w14:textId="77777777" w:rsidTr="00C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tcW w:w="2044" w:type="pct"/>
            <w:hideMark/>
          </w:tcPr>
          <w:p w14:paraId="50B1BBAA" w14:textId="77777777" w:rsidR="00717B6D" w:rsidRPr="00275C40" w:rsidRDefault="00717B6D" w:rsidP="00C67FFD">
            <w:pPr>
              <w:ind w:left="360"/>
            </w:pPr>
            <w:r w:rsidRPr="00275C40">
              <w:rPr>
                <w:lang w:val="hu-HU"/>
              </w:rPr>
              <w:t>Reoperation</w:t>
            </w:r>
          </w:p>
        </w:tc>
        <w:tc>
          <w:tcPr>
            <w:tcW w:w="1290" w:type="pct"/>
            <w:hideMark/>
          </w:tcPr>
          <w:p w14:paraId="4D793D93" w14:textId="77777777" w:rsidR="00717B6D" w:rsidRPr="00275C40" w:rsidRDefault="00717B6D" w:rsidP="00C67FFD">
            <w:pPr>
              <w:ind w:left="360"/>
              <w:jc w:val="center"/>
            </w:pPr>
            <w:r w:rsidRPr="00275C40">
              <w:rPr>
                <w:lang w:val="en-AE"/>
              </w:rPr>
              <w:t>0.14</w:t>
            </w:r>
          </w:p>
        </w:tc>
        <w:tc>
          <w:tcPr>
            <w:tcW w:w="1666" w:type="pct"/>
            <w:hideMark/>
          </w:tcPr>
          <w:p w14:paraId="3F3C21EB" w14:textId="77777777" w:rsidR="00717B6D" w:rsidRPr="00275C40" w:rsidRDefault="00717B6D" w:rsidP="00C67FFD">
            <w:pPr>
              <w:ind w:left="360"/>
              <w:jc w:val="center"/>
            </w:pPr>
            <w:r w:rsidRPr="00275C40">
              <w:rPr>
                <w:lang w:val="en-AE"/>
              </w:rPr>
              <w:t>0.0175–1.1802</w:t>
            </w:r>
          </w:p>
        </w:tc>
      </w:tr>
      <w:tr w:rsidR="00717B6D" w:rsidRPr="00275C40" w14:paraId="138D5B0E" w14:textId="77777777" w:rsidTr="00C67FFD">
        <w:trPr>
          <w:trHeight w:val="448"/>
        </w:trPr>
        <w:tc>
          <w:tcPr>
            <w:tcW w:w="2044" w:type="pct"/>
            <w:hideMark/>
          </w:tcPr>
          <w:p w14:paraId="48B51301" w14:textId="77777777" w:rsidR="00717B6D" w:rsidRPr="00275C40" w:rsidRDefault="00717B6D" w:rsidP="00C67FFD">
            <w:pPr>
              <w:ind w:left="360"/>
            </w:pPr>
            <w:r w:rsidRPr="00275C40">
              <w:rPr>
                <w:lang w:val="hu-HU"/>
              </w:rPr>
              <w:t>Stroke</w:t>
            </w:r>
          </w:p>
        </w:tc>
        <w:tc>
          <w:tcPr>
            <w:tcW w:w="1290" w:type="pct"/>
            <w:hideMark/>
          </w:tcPr>
          <w:p w14:paraId="65A6DEE2" w14:textId="77777777" w:rsidR="00717B6D" w:rsidRPr="00275C40" w:rsidRDefault="00717B6D" w:rsidP="00C67FFD">
            <w:pPr>
              <w:ind w:left="360"/>
              <w:jc w:val="center"/>
            </w:pPr>
            <w:r w:rsidRPr="00275C40">
              <w:t>0.77</w:t>
            </w:r>
          </w:p>
        </w:tc>
        <w:tc>
          <w:tcPr>
            <w:tcW w:w="1666" w:type="pct"/>
            <w:hideMark/>
          </w:tcPr>
          <w:p w14:paraId="4DC18162" w14:textId="77777777" w:rsidR="00717B6D" w:rsidRPr="00275C40" w:rsidRDefault="00717B6D" w:rsidP="00C67FFD">
            <w:pPr>
              <w:ind w:left="360"/>
              <w:jc w:val="center"/>
            </w:pPr>
            <w:r w:rsidRPr="00275C40">
              <w:rPr>
                <w:lang w:val="en-AE"/>
              </w:rPr>
              <w:t>0.2624–2.2733</w:t>
            </w:r>
          </w:p>
        </w:tc>
      </w:tr>
      <w:tr w:rsidR="00717B6D" w:rsidRPr="00275C40" w14:paraId="2A1C87DE" w14:textId="77777777" w:rsidTr="00C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tcW w:w="2044" w:type="pct"/>
          </w:tcPr>
          <w:p w14:paraId="30EAE262" w14:textId="77777777" w:rsidR="00717B6D" w:rsidRPr="00275C40" w:rsidRDefault="00717B6D" w:rsidP="00C67FFD">
            <w:pPr>
              <w:ind w:left="360"/>
              <w:rPr>
                <w:lang w:val="hu-HU"/>
              </w:rPr>
            </w:pPr>
            <w:r w:rsidRPr="00275C40">
              <w:rPr>
                <w:rFonts w:ascii="Calibri" w:eastAsiaTheme="minorEastAsia" w:hAnsi="Calibri"/>
                <w:color w:val="000000"/>
                <w:kern w:val="24"/>
                <w:lang w:val="hu-HU"/>
              </w:rPr>
              <w:t>Short-term Mortality</w:t>
            </w:r>
            <w:r w:rsidRPr="00275C40">
              <w:rPr>
                <w:rFonts w:ascii="Calibri" w:eastAsiaTheme="minorEastAsia" w:hAnsi="Calibri"/>
                <w:color w:val="000000"/>
                <w:kern w:val="24"/>
              </w:rPr>
              <w:t xml:space="preserve"> </w:t>
            </w:r>
            <w:r w:rsidRPr="00275C40">
              <w:rPr>
                <w:rFonts w:ascii="Calibri" w:hAnsi="Calibri" w:cs="Calibri"/>
                <w:color w:val="000000"/>
                <w:kern w:val="24"/>
              </w:rPr>
              <w:t>(30-days)</w:t>
            </w:r>
          </w:p>
        </w:tc>
        <w:tc>
          <w:tcPr>
            <w:tcW w:w="1290" w:type="pct"/>
          </w:tcPr>
          <w:p w14:paraId="3DFB8937" w14:textId="77777777" w:rsidR="00717B6D" w:rsidRPr="00275C40" w:rsidRDefault="00717B6D" w:rsidP="00C67FFD">
            <w:pPr>
              <w:ind w:left="360"/>
              <w:jc w:val="center"/>
            </w:pPr>
            <w:r w:rsidRPr="00275C40">
              <w:rPr>
                <w:rFonts w:eastAsiaTheme="minorEastAsia" w:hAnsi="Calibri"/>
                <w:color w:val="000000"/>
                <w:kern w:val="24"/>
                <w:lang w:val="en-AE"/>
              </w:rPr>
              <w:t>0.52</w:t>
            </w:r>
          </w:p>
        </w:tc>
        <w:tc>
          <w:tcPr>
            <w:tcW w:w="1666" w:type="pct"/>
          </w:tcPr>
          <w:p w14:paraId="75CBE4FC" w14:textId="77777777" w:rsidR="00717B6D" w:rsidRPr="00275C40" w:rsidRDefault="00717B6D" w:rsidP="00C67FFD">
            <w:pPr>
              <w:ind w:left="360"/>
              <w:jc w:val="center"/>
              <w:rPr>
                <w:lang w:val="en-AE"/>
              </w:rPr>
            </w:pPr>
            <w:r w:rsidRPr="00275C40">
              <w:rPr>
                <w:rFonts w:ascii="Calibri" w:hAnsi="Calibri" w:cs="Calibri"/>
                <w:color w:val="000000"/>
                <w:kern w:val="24"/>
                <w:lang w:val="en-AE"/>
              </w:rPr>
              <w:t>0.0465–5.7576</w:t>
            </w:r>
          </w:p>
        </w:tc>
      </w:tr>
    </w:tbl>
    <w:p w14:paraId="29240989" w14:textId="77777777" w:rsidR="00717B6D" w:rsidRPr="00275C40" w:rsidRDefault="00717B6D" w:rsidP="00717B6D">
      <w:r w:rsidRPr="00275C40">
        <w:t>*Significant effect at 95% confidence interval</w:t>
      </w:r>
    </w:p>
    <w:p w14:paraId="1F81EAA2" w14:textId="77777777" w:rsidR="00552C7D" w:rsidRDefault="00552C7D"/>
    <w:sectPr w:rsidR="00552C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8FF61" w14:textId="77777777" w:rsidR="00237C5B" w:rsidRDefault="00237C5B" w:rsidP="00552C7D">
      <w:pPr>
        <w:spacing w:line="240" w:lineRule="auto"/>
      </w:pPr>
      <w:r>
        <w:separator/>
      </w:r>
    </w:p>
  </w:endnote>
  <w:endnote w:type="continuationSeparator" w:id="0">
    <w:p w14:paraId="555BB85B" w14:textId="77777777" w:rsidR="00237C5B" w:rsidRDefault="00237C5B" w:rsidP="00552C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3B1BC" w14:textId="77777777" w:rsidR="00237C5B" w:rsidRDefault="00237C5B" w:rsidP="00552C7D">
      <w:pPr>
        <w:spacing w:line="240" w:lineRule="auto"/>
      </w:pPr>
      <w:r>
        <w:separator/>
      </w:r>
    </w:p>
  </w:footnote>
  <w:footnote w:type="continuationSeparator" w:id="0">
    <w:p w14:paraId="2460587F" w14:textId="77777777" w:rsidR="00237C5B" w:rsidRDefault="00237C5B" w:rsidP="00552C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E4B2A" w14:textId="77777777" w:rsidR="00552C7D" w:rsidRDefault="00552C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E6D66"/>
    <w:multiLevelType w:val="hybridMultilevel"/>
    <w:tmpl w:val="6DFCCE1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F104E"/>
    <w:multiLevelType w:val="hybridMultilevel"/>
    <w:tmpl w:val="846CA78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73D53"/>
    <w:multiLevelType w:val="hybridMultilevel"/>
    <w:tmpl w:val="A60A567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40158"/>
    <w:multiLevelType w:val="hybridMultilevel"/>
    <w:tmpl w:val="9C04BA90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6521C"/>
    <w:multiLevelType w:val="hybridMultilevel"/>
    <w:tmpl w:val="600AE15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375096">
    <w:abstractNumId w:val="3"/>
  </w:num>
  <w:num w:numId="2" w16cid:durableId="407383508">
    <w:abstractNumId w:val="0"/>
  </w:num>
  <w:num w:numId="3" w16cid:durableId="1990787467">
    <w:abstractNumId w:val="2"/>
  </w:num>
  <w:num w:numId="4" w16cid:durableId="32924971">
    <w:abstractNumId w:val="4"/>
  </w:num>
  <w:num w:numId="5" w16cid:durableId="1373993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7D"/>
    <w:rsid w:val="00237C5B"/>
    <w:rsid w:val="002621A3"/>
    <w:rsid w:val="00297DD1"/>
    <w:rsid w:val="003854F4"/>
    <w:rsid w:val="003957CA"/>
    <w:rsid w:val="00552C7D"/>
    <w:rsid w:val="005B4656"/>
    <w:rsid w:val="006A2771"/>
    <w:rsid w:val="006D4E7C"/>
    <w:rsid w:val="006D6BFB"/>
    <w:rsid w:val="00717B6D"/>
    <w:rsid w:val="00755FA7"/>
    <w:rsid w:val="00922851"/>
    <w:rsid w:val="00A7018F"/>
    <w:rsid w:val="00A95915"/>
    <w:rsid w:val="00BF313B"/>
    <w:rsid w:val="00C13E3F"/>
    <w:rsid w:val="00C178ED"/>
    <w:rsid w:val="00C8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68D4D"/>
  <w15:chartTrackingRefBased/>
  <w15:docId w15:val="{4EBD2FC0-613C-4E19-BAC1-A36F6165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C7D"/>
    <w:pPr>
      <w:spacing w:after="0" w:line="276" w:lineRule="auto"/>
      <w:jc w:val="both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2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C7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C7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C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C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C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C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C7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C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C7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C7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C7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2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2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2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52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2C7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C7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C7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C7D"/>
    <w:rPr>
      <w:b/>
      <w:bCs/>
      <w:smallCaps/>
      <w:color w:val="2E74B5" w:themeColor="accent1" w:themeShade="BF"/>
      <w:spacing w:val="5"/>
    </w:rPr>
  </w:style>
  <w:style w:type="table" w:styleId="ListTable4-Accent6">
    <w:name w:val="List Table 4 Accent 6"/>
    <w:basedOn w:val="TableNormal"/>
    <w:uiPriority w:val="49"/>
    <w:rsid w:val="00552C7D"/>
    <w:pPr>
      <w:spacing w:after="0" w:line="240" w:lineRule="auto"/>
    </w:pPr>
    <w:rPr>
      <w:kern w:val="0"/>
      <w:lang w:val="hu-HU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4-Accent2">
    <w:name w:val="List Table 4 Accent 2"/>
    <w:basedOn w:val="TableNormal"/>
    <w:uiPriority w:val="49"/>
    <w:rsid w:val="006D4E7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Revision">
    <w:name w:val="Revision"/>
    <w:hidden/>
    <w:uiPriority w:val="99"/>
    <w:semiHidden/>
    <w:rsid w:val="00A7018F"/>
    <w:pPr>
      <w:spacing w:after="0" w:line="240" w:lineRule="auto"/>
    </w:pPr>
    <w:rPr>
      <w:kern w:val="0"/>
      <w14:ligatures w14:val="none"/>
    </w:rPr>
  </w:style>
  <w:style w:type="table" w:styleId="GridTable5Dark-Accent2">
    <w:name w:val="Grid Table 5 Dark Accent 2"/>
    <w:basedOn w:val="TableNormal"/>
    <w:uiPriority w:val="50"/>
    <w:rsid w:val="00717B6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7B6D"/>
    <w:pPr>
      <w:spacing w:after="160" w:line="240" w:lineRule="auto"/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7B6D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Baher ElEzbawy</dc:creator>
  <cp:keywords/>
  <dc:description/>
  <cp:lastModifiedBy>Baher ElEzbawy</cp:lastModifiedBy>
  <cp:revision>4</cp:revision>
  <dcterms:created xsi:type="dcterms:W3CDTF">2025-10-29T07:38:00Z</dcterms:created>
  <dcterms:modified xsi:type="dcterms:W3CDTF">2025-10-29T07:49:00Z</dcterms:modified>
</cp:coreProperties>
</file>