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B93473">
      <w:pP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highlight w:val="none"/>
          <w:lang w:val="en-US" w:eastAsia="zh-CN" w:bidi="ar-SA"/>
        </w:rPr>
      </w:pPr>
    </w:p>
    <w:p w14:paraId="0A0789C1">
      <w:pPr>
        <w:jc w:val="center"/>
        <w:rPr>
          <w:rFonts w:hint="default" w:ascii="Times New Roman" w:hAnsi="Times New Roman" w:cs="Times New Roman"/>
          <w:b/>
          <w:sz w:val="24"/>
          <w:szCs w:val="36"/>
        </w:rPr>
      </w:pPr>
      <w:r>
        <w:rPr>
          <w:rFonts w:hint="default" w:ascii="Times New Roman" w:hAnsi="Times New Roman" w:cs="Times New Roman"/>
          <w:b/>
          <w:sz w:val="24"/>
          <w:szCs w:val="36"/>
        </w:rPr>
        <w:t>Supplementary Table S1. Characteristics of the instrumental variables for CKAP2 protein levels</w:t>
      </w:r>
    </w:p>
    <w:p w14:paraId="36F58E0B">
      <w:pPr>
        <w:jc w:val="center"/>
        <w:rPr>
          <w:rFonts w:hint="default" w:ascii="Times New Roman" w:hAnsi="Times New Roman" w:cs="Times New Roman"/>
          <w:b/>
          <w:sz w:val="24"/>
          <w:szCs w:val="36"/>
        </w:rPr>
      </w:pPr>
    </w:p>
    <w:tbl>
      <w:tblPr>
        <w:tblStyle w:val="5"/>
        <w:tblW w:w="116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0"/>
        <w:gridCol w:w="1600"/>
        <w:gridCol w:w="1340"/>
        <w:gridCol w:w="830"/>
        <w:gridCol w:w="850"/>
        <w:gridCol w:w="760"/>
        <w:gridCol w:w="960"/>
        <w:gridCol w:w="770"/>
        <w:gridCol w:w="800"/>
        <w:gridCol w:w="870"/>
        <w:gridCol w:w="1260"/>
      </w:tblGrid>
      <w:tr w14:paraId="0A5743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0" w:type="dxa"/>
          </w:tcPr>
          <w:p w14:paraId="273ACCC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SNP</w:t>
            </w:r>
          </w:p>
        </w:tc>
        <w:tc>
          <w:tcPr>
            <w:tcW w:w="1600" w:type="dxa"/>
          </w:tcPr>
          <w:p w14:paraId="78E845C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sz w:val="24"/>
                <w:szCs w:val="24"/>
                <w:lang w:val="en-US" w:eastAsia="zh-CN"/>
              </w:rPr>
              <w:t>C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hromosome</w:t>
            </w:r>
          </w:p>
        </w:tc>
        <w:tc>
          <w:tcPr>
            <w:tcW w:w="1340" w:type="dxa"/>
          </w:tcPr>
          <w:p w14:paraId="23DBB4E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Position</w:t>
            </w:r>
          </w:p>
        </w:tc>
        <w:tc>
          <w:tcPr>
            <w:tcW w:w="830" w:type="dxa"/>
          </w:tcPr>
          <w:p w14:paraId="1EEF4C9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Effect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br w:type="textWrapping"/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allele</w:t>
            </w:r>
          </w:p>
        </w:tc>
        <w:tc>
          <w:tcPr>
            <w:tcW w:w="850" w:type="dxa"/>
          </w:tcPr>
          <w:p w14:paraId="2E1580D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Other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br w:type="textWrapping"/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allele</w:t>
            </w:r>
          </w:p>
        </w:tc>
        <w:tc>
          <w:tcPr>
            <w:tcW w:w="760" w:type="dxa"/>
          </w:tcPr>
          <w:p w14:paraId="7927D50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EAF</w:t>
            </w:r>
          </w:p>
        </w:tc>
        <w:tc>
          <w:tcPr>
            <w:tcW w:w="960" w:type="dxa"/>
          </w:tcPr>
          <w:p w14:paraId="5F6112C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Beta</w:t>
            </w:r>
          </w:p>
        </w:tc>
        <w:tc>
          <w:tcPr>
            <w:tcW w:w="770" w:type="dxa"/>
          </w:tcPr>
          <w:p w14:paraId="2C02E0A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SE</w:t>
            </w:r>
          </w:p>
        </w:tc>
        <w:tc>
          <w:tcPr>
            <w:tcW w:w="800" w:type="dxa"/>
          </w:tcPr>
          <w:p w14:paraId="1D8829F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/>
                <w:iCs/>
                <w:sz w:val="24"/>
                <w:szCs w:val="24"/>
              </w:rPr>
              <w:t>P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 xml:space="preserve"> value</w:t>
            </w:r>
          </w:p>
        </w:tc>
        <w:tc>
          <w:tcPr>
            <w:tcW w:w="870" w:type="dxa"/>
          </w:tcPr>
          <w:p w14:paraId="5EF866C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R²</w:t>
            </w:r>
          </w:p>
        </w:tc>
        <w:tc>
          <w:tcPr>
            <w:tcW w:w="1260" w:type="dxa"/>
          </w:tcPr>
          <w:p w14:paraId="4352CD8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F-statistic</w:t>
            </w:r>
          </w:p>
        </w:tc>
      </w:tr>
      <w:tr w14:paraId="105D81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0" w:type="dxa"/>
          </w:tcPr>
          <w:p w14:paraId="4DAC629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rs570618</w:t>
            </w:r>
          </w:p>
        </w:tc>
        <w:tc>
          <w:tcPr>
            <w:tcW w:w="1600" w:type="dxa"/>
          </w:tcPr>
          <w:p w14:paraId="329EA59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0" w:type="dxa"/>
          </w:tcPr>
          <w:p w14:paraId="681DAAB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196657064</w:t>
            </w:r>
          </w:p>
        </w:tc>
        <w:tc>
          <w:tcPr>
            <w:tcW w:w="830" w:type="dxa"/>
          </w:tcPr>
          <w:p w14:paraId="691B13D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850" w:type="dxa"/>
          </w:tcPr>
          <w:p w14:paraId="1BB8AC0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760" w:type="dxa"/>
          </w:tcPr>
          <w:p w14:paraId="4604F1E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0.611</w:t>
            </w:r>
          </w:p>
        </w:tc>
        <w:tc>
          <w:tcPr>
            <w:tcW w:w="960" w:type="dxa"/>
          </w:tcPr>
          <w:p w14:paraId="5B63F8B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−0.167</w:t>
            </w:r>
          </w:p>
        </w:tc>
        <w:tc>
          <w:tcPr>
            <w:tcW w:w="770" w:type="dxa"/>
          </w:tcPr>
          <w:p w14:paraId="612AAC5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0.025</w:t>
            </w:r>
          </w:p>
        </w:tc>
        <w:tc>
          <w:tcPr>
            <w:tcW w:w="800" w:type="dxa"/>
          </w:tcPr>
          <w:p w14:paraId="33202FE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4.57×10⁻¹¹</w:t>
            </w:r>
          </w:p>
        </w:tc>
        <w:tc>
          <w:tcPr>
            <w:tcW w:w="870" w:type="dxa"/>
          </w:tcPr>
          <w:p w14:paraId="6A98DEB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0.013</w:t>
            </w:r>
          </w:p>
        </w:tc>
        <w:tc>
          <w:tcPr>
            <w:tcW w:w="1260" w:type="dxa"/>
          </w:tcPr>
          <w:p w14:paraId="010ABA8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43.4</w:t>
            </w:r>
          </w:p>
        </w:tc>
      </w:tr>
      <w:tr w14:paraId="4F92A7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0" w:type="dxa"/>
          </w:tcPr>
          <w:p w14:paraId="28598D4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rs142517401</w:t>
            </w:r>
          </w:p>
        </w:tc>
        <w:tc>
          <w:tcPr>
            <w:tcW w:w="1600" w:type="dxa"/>
          </w:tcPr>
          <w:p w14:paraId="63DB37A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40" w:type="dxa"/>
          </w:tcPr>
          <w:p w14:paraId="2122020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66161137</w:t>
            </w:r>
          </w:p>
        </w:tc>
        <w:tc>
          <w:tcPr>
            <w:tcW w:w="830" w:type="dxa"/>
          </w:tcPr>
          <w:p w14:paraId="711CD9E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850" w:type="dxa"/>
          </w:tcPr>
          <w:p w14:paraId="60EF87C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760" w:type="dxa"/>
          </w:tcPr>
          <w:p w14:paraId="3917E30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0.115</w:t>
            </w:r>
          </w:p>
        </w:tc>
        <w:tc>
          <w:tcPr>
            <w:tcW w:w="960" w:type="dxa"/>
          </w:tcPr>
          <w:p w14:paraId="39A9C5B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0.222</w:t>
            </w:r>
          </w:p>
        </w:tc>
        <w:tc>
          <w:tcPr>
            <w:tcW w:w="770" w:type="dxa"/>
          </w:tcPr>
          <w:p w14:paraId="70B36B8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0.040</w:t>
            </w:r>
          </w:p>
        </w:tc>
        <w:tc>
          <w:tcPr>
            <w:tcW w:w="800" w:type="dxa"/>
          </w:tcPr>
          <w:p w14:paraId="22C2D45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3.24×10⁻⁸</w:t>
            </w:r>
          </w:p>
        </w:tc>
        <w:tc>
          <w:tcPr>
            <w:tcW w:w="870" w:type="dxa"/>
          </w:tcPr>
          <w:p w14:paraId="11E8020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0.009</w:t>
            </w:r>
          </w:p>
        </w:tc>
        <w:tc>
          <w:tcPr>
            <w:tcW w:w="1260" w:type="dxa"/>
          </w:tcPr>
          <w:p w14:paraId="721656D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30.5</w:t>
            </w:r>
          </w:p>
        </w:tc>
      </w:tr>
      <w:tr w14:paraId="774FA0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0" w:type="dxa"/>
          </w:tcPr>
          <w:p w14:paraId="58E4098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rs74480769</w:t>
            </w:r>
          </w:p>
        </w:tc>
        <w:tc>
          <w:tcPr>
            <w:tcW w:w="1600" w:type="dxa"/>
          </w:tcPr>
          <w:p w14:paraId="7BCD8B6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40" w:type="dxa"/>
          </w:tcPr>
          <w:p w14:paraId="00C45B1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40972211</w:t>
            </w:r>
          </w:p>
        </w:tc>
        <w:tc>
          <w:tcPr>
            <w:tcW w:w="830" w:type="dxa"/>
          </w:tcPr>
          <w:p w14:paraId="3664C77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850" w:type="dxa"/>
          </w:tcPr>
          <w:p w14:paraId="32EE54C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760" w:type="dxa"/>
          </w:tcPr>
          <w:p w14:paraId="64371B8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0.032</w:t>
            </w:r>
          </w:p>
        </w:tc>
        <w:tc>
          <w:tcPr>
            <w:tcW w:w="960" w:type="dxa"/>
          </w:tcPr>
          <w:p w14:paraId="12BEE09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−0.423</w:t>
            </w:r>
          </w:p>
        </w:tc>
        <w:tc>
          <w:tcPr>
            <w:tcW w:w="770" w:type="dxa"/>
          </w:tcPr>
          <w:p w14:paraId="065559B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0.073</w:t>
            </w:r>
          </w:p>
        </w:tc>
        <w:tc>
          <w:tcPr>
            <w:tcW w:w="800" w:type="dxa"/>
          </w:tcPr>
          <w:p w14:paraId="551FAFC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7.94×10⁻⁹</w:t>
            </w:r>
          </w:p>
        </w:tc>
        <w:tc>
          <w:tcPr>
            <w:tcW w:w="870" w:type="dxa"/>
          </w:tcPr>
          <w:p w14:paraId="7FEF202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0.010</w:t>
            </w:r>
          </w:p>
        </w:tc>
        <w:tc>
          <w:tcPr>
            <w:tcW w:w="1260" w:type="dxa"/>
          </w:tcPr>
          <w:p w14:paraId="32C45C4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33.2</w:t>
            </w:r>
          </w:p>
        </w:tc>
      </w:tr>
      <w:tr w14:paraId="3284D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0" w:type="dxa"/>
          </w:tcPr>
          <w:p w14:paraId="3138BF4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rs2299257</w:t>
            </w:r>
          </w:p>
        </w:tc>
        <w:tc>
          <w:tcPr>
            <w:tcW w:w="1600" w:type="dxa"/>
          </w:tcPr>
          <w:p w14:paraId="6EACC2C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40" w:type="dxa"/>
          </w:tcPr>
          <w:p w14:paraId="176ACD3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94942765</w:t>
            </w:r>
          </w:p>
        </w:tc>
        <w:tc>
          <w:tcPr>
            <w:tcW w:w="830" w:type="dxa"/>
          </w:tcPr>
          <w:p w14:paraId="03B4095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850" w:type="dxa"/>
          </w:tcPr>
          <w:p w14:paraId="18BAA81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760" w:type="dxa"/>
          </w:tcPr>
          <w:p w14:paraId="74C0AC3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0.383</w:t>
            </w:r>
          </w:p>
        </w:tc>
        <w:tc>
          <w:tcPr>
            <w:tcW w:w="960" w:type="dxa"/>
          </w:tcPr>
          <w:p w14:paraId="5809E3F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0.154</w:t>
            </w:r>
          </w:p>
        </w:tc>
        <w:tc>
          <w:tcPr>
            <w:tcW w:w="770" w:type="dxa"/>
          </w:tcPr>
          <w:p w14:paraId="4AA8DC0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0.026</w:t>
            </w:r>
          </w:p>
        </w:tc>
        <w:tc>
          <w:tcPr>
            <w:tcW w:w="800" w:type="dxa"/>
          </w:tcPr>
          <w:p w14:paraId="05AE5E1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2.24×10⁻⁹</w:t>
            </w:r>
          </w:p>
        </w:tc>
        <w:tc>
          <w:tcPr>
            <w:tcW w:w="870" w:type="dxa"/>
          </w:tcPr>
          <w:p w14:paraId="3D385BC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0.011</w:t>
            </w:r>
          </w:p>
        </w:tc>
        <w:tc>
          <w:tcPr>
            <w:tcW w:w="1260" w:type="dxa"/>
          </w:tcPr>
          <w:p w14:paraId="47046DF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35.8</w:t>
            </w:r>
          </w:p>
        </w:tc>
      </w:tr>
      <w:tr w14:paraId="58618A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0" w:type="dxa"/>
          </w:tcPr>
          <w:p w14:paraId="7DB1A68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rs967645</w:t>
            </w:r>
          </w:p>
        </w:tc>
        <w:tc>
          <w:tcPr>
            <w:tcW w:w="1600" w:type="dxa"/>
          </w:tcPr>
          <w:p w14:paraId="336941C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340" w:type="dxa"/>
          </w:tcPr>
          <w:p w14:paraId="2047F73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26713970</w:t>
            </w:r>
          </w:p>
        </w:tc>
        <w:tc>
          <w:tcPr>
            <w:tcW w:w="830" w:type="dxa"/>
          </w:tcPr>
          <w:p w14:paraId="53BF40D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850" w:type="dxa"/>
          </w:tcPr>
          <w:p w14:paraId="3AF764B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760" w:type="dxa"/>
          </w:tcPr>
          <w:p w14:paraId="4842228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0.509</w:t>
            </w:r>
          </w:p>
        </w:tc>
        <w:tc>
          <w:tcPr>
            <w:tcW w:w="960" w:type="dxa"/>
          </w:tcPr>
          <w:p w14:paraId="7B14199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0.176</w:t>
            </w:r>
          </w:p>
        </w:tc>
        <w:tc>
          <w:tcPr>
            <w:tcW w:w="770" w:type="dxa"/>
          </w:tcPr>
          <w:p w14:paraId="4558ED5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0.024</w:t>
            </w:r>
          </w:p>
        </w:tc>
        <w:tc>
          <w:tcPr>
            <w:tcW w:w="800" w:type="dxa"/>
          </w:tcPr>
          <w:p w14:paraId="4B702D2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5.13×10⁻¹³</w:t>
            </w:r>
          </w:p>
        </w:tc>
        <w:tc>
          <w:tcPr>
            <w:tcW w:w="870" w:type="dxa"/>
          </w:tcPr>
          <w:p w14:paraId="3BA7B15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0.016</w:t>
            </w:r>
          </w:p>
        </w:tc>
        <w:tc>
          <w:tcPr>
            <w:tcW w:w="1260" w:type="dxa"/>
          </w:tcPr>
          <w:p w14:paraId="6DDF1C5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52.4</w:t>
            </w:r>
          </w:p>
        </w:tc>
      </w:tr>
      <w:tr w14:paraId="562B52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0" w:type="dxa"/>
          </w:tcPr>
          <w:p w14:paraId="4C27BA4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rs1065853</w:t>
            </w:r>
          </w:p>
        </w:tc>
        <w:tc>
          <w:tcPr>
            <w:tcW w:w="1600" w:type="dxa"/>
          </w:tcPr>
          <w:p w14:paraId="5AD389F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340" w:type="dxa"/>
          </w:tcPr>
          <w:p w14:paraId="74FABE1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45413233</w:t>
            </w:r>
          </w:p>
        </w:tc>
        <w:tc>
          <w:tcPr>
            <w:tcW w:w="830" w:type="dxa"/>
          </w:tcPr>
          <w:p w14:paraId="741729D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850" w:type="dxa"/>
          </w:tcPr>
          <w:p w14:paraId="49A9600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760" w:type="dxa"/>
          </w:tcPr>
          <w:p w14:paraId="11C3286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0.078</w:t>
            </w:r>
          </w:p>
        </w:tc>
        <w:tc>
          <w:tcPr>
            <w:tcW w:w="960" w:type="dxa"/>
          </w:tcPr>
          <w:p w14:paraId="5E48576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0.598</w:t>
            </w:r>
          </w:p>
        </w:tc>
        <w:tc>
          <w:tcPr>
            <w:tcW w:w="770" w:type="dxa"/>
          </w:tcPr>
          <w:p w14:paraId="44FAA8F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0.045</w:t>
            </w:r>
          </w:p>
        </w:tc>
        <w:tc>
          <w:tcPr>
            <w:tcW w:w="800" w:type="dxa"/>
          </w:tcPr>
          <w:p w14:paraId="2AD46FA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1.10×10⁻³⁹</w:t>
            </w:r>
          </w:p>
        </w:tc>
        <w:tc>
          <w:tcPr>
            <w:tcW w:w="870" w:type="dxa"/>
          </w:tcPr>
          <w:p w14:paraId="4C3165B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0.050</w:t>
            </w:r>
          </w:p>
        </w:tc>
        <w:tc>
          <w:tcPr>
            <w:tcW w:w="1260" w:type="dxa"/>
          </w:tcPr>
          <w:p w14:paraId="7B54298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173.9</w:t>
            </w:r>
          </w:p>
        </w:tc>
      </w:tr>
    </w:tbl>
    <w:p w14:paraId="5A66DD1E">
      <w:pPr>
        <w:rPr>
          <w:rFonts w:hint="default" w:ascii="Times New Roman" w:hAnsi="Times New Roman" w:cs="Times New Roman"/>
          <w:b/>
          <w:bCs/>
          <w:sz w:val="24"/>
          <w:szCs w:val="24"/>
          <w:highlight w:val="none"/>
        </w:rPr>
      </w:pPr>
    </w:p>
    <w:p w14:paraId="088AD2BA">
      <w:pPr>
        <w:rPr>
          <w:rFonts w:hint="default" w:ascii="Times New Roman" w:hAnsi="Times New Roman" w:cs="Times New Roman"/>
          <w:sz w:val="24"/>
          <w:szCs w:val="24"/>
          <w:highlight w:val="gree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highlight w:val="green"/>
        </w:rPr>
        <w:t xml:space="preserve">Notes: </w:t>
      </w:r>
      <w:r>
        <w:rPr>
          <w:rFonts w:hint="default" w:ascii="Times New Roman" w:hAnsi="Times New Roman" w:cs="Times New Roman"/>
          <w:sz w:val="24"/>
          <w:szCs w:val="24"/>
          <w:highlight w:val="green"/>
        </w:rPr>
        <w:t>All SNPs met genome-wide significance (</w:t>
      </w:r>
      <w:r>
        <w:rPr>
          <w:rFonts w:hint="default" w:ascii="Times New Roman" w:hAnsi="Times New Roman" w:cs="Times New Roman"/>
          <w:i/>
          <w:iCs/>
          <w:sz w:val="24"/>
          <w:szCs w:val="24"/>
          <w:highlight w:val="green"/>
        </w:rPr>
        <w:t>P</w:t>
      </w:r>
      <w:r>
        <w:rPr>
          <w:rFonts w:hint="default" w:ascii="Times New Roman" w:hAnsi="Times New Roman" w:cs="Times New Roman"/>
          <w:sz w:val="24"/>
          <w:szCs w:val="24"/>
          <w:highlight w:val="green"/>
        </w:rPr>
        <w:t xml:space="preserve"> &lt; 5×10⁻⁸) and </w:t>
      </w:r>
      <w:r>
        <w:rPr>
          <w:rFonts w:hint="eastAsia" w:ascii="Times New Roman" w:hAnsi="Times New Roman" w:cs="Times New Roman"/>
          <w:sz w:val="24"/>
          <w:szCs w:val="24"/>
          <w:highlight w:val="green"/>
          <w:lang w:val="en-US" w:eastAsia="zh-CN"/>
        </w:rPr>
        <w:t>l</w:t>
      </w:r>
      <w:r>
        <w:rPr>
          <w:rFonts w:hint="default" w:ascii="Times New Roman" w:hAnsi="Times New Roman" w:cs="Times New Roman"/>
          <w:sz w:val="24"/>
          <w:szCs w:val="24"/>
          <w:highlight w:val="green"/>
        </w:rPr>
        <w:t xml:space="preserve">inkage </w:t>
      </w:r>
      <w:r>
        <w:rPr>
          <w:rFonts w:hint="eastAsia" w:ascii="Times New Roman" w:hAnsi="Times New Roman" w:cs="Times New Roman"/>
          <w:sz w:val="24"/>
          <w:szCs w:val="24"/>
          <w:highlight w:val="green"/>
          <w:lang w:val="en-US" w:eastAsia="zh-CN"/>
        </w:rPr>
        <w:t>d</w:t>
      </w:r>
      <w:r>
        <w:rPr>
          <w:rFonts w:hint="default" w:ascii="Times New Roman" w:hAnsi="Times New Roman" w:cs="Times New Roman"/>
          <w:sz w:val="24"/>
          <w:szCs w:val="24"/>
          <w:highlight w:val="green"/>
        </w:rPr>
        <w:t>isequilibrium clumping criteria (R² &lt; 0.001, 10000 kb). F-statistics &gt; 10 indicate adequate instrument strength.</w:t>
      </w:r>
      <w:r>
        <w:rPr>
          <w:rFonts w:hint="eastAsia" w:ascii="Times New Roman" w:hAnsi="Times New Roman" w:cs="Times New Roman"/>
          <w:sz w:val="24"/>
          <w:szCs w:val="24"/>
          <w:highlight w:val="green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highlight w:val="green"/>
        </w:rPr>
        <w:t>EAF, effect allele frequency; Beta, effect size; SE, standard error; R², proportion of variance explained.</w:t>
      </w:r>
    </w:p>
    <w:p w14:paraId="06A98F59">
      <w:pPr>
        <w:rPr>
          <w:rFonts w:hint="default" w:ascii="Times New Roman" w:hAnsi="Times New Roman" w:cs="Times New Roman"/>
          <w:sz w:val="24"/>
          <w:szCs w:val="24"/>
          <w:highlight w:val="none"/>
        </w:rPr>
      </w:pPr>
    </w:p>
    <w:p w14:paraId="60F3688E">
      <w:pPr>
        <w:rPr>
          <w:rFonts w:hint="default" w:ascii="Times New Roman" w:hAnsi="Times New Roman" w:cs="Times New Roman"/>
          <w:sz w:val="24"/>
          <w:szCs w:val="24"/>
          <w:highlight w:val="none"/>
        </w:rPr>
      </w:pPr>
    </w:p>
    <w:p w14:paraId="20B18009">
      <w:pPr>
        <w:rPr>
          <w:rFonts w:hint="default" w:ascii="Times New Roman" w:hAnsi="Times New Roman" w:cs="Times New Roman"/>
          <w:sz w:val="24"/>
          <w:szCs w:val="24"/>
          <w:highlight w:val="none"/>
        </w:rPr>
      </w:pPr>
    </w:p>
    <w:p w14:paraId="53EFC4CC">
      <w:pPr>
        <w:rPr>
          <w:rFonts w:hint="default" w:ascii="Times New Roman" w:hAnsi="Times New Roman" w:cs="Times New Roman"/>
          <w:sz w:val="24"/>
          <w:szCs w:val="24"/>
          <w:highlight w:val="none"/>
        </w:rPr>
      </w:pPr>
    </w:p>
    <w:p w14:paraId="35D48EA7">
      <w:pPr>
        <w:rPr>
          <w:rFonts w:hint="default" w:ascii="Times New Roman" w:hAnsi="Times New Roman" w:cs="Times New Roman"/>
          <w:sz w:val="24"/>
          <w:szCs w:val="24"/>
          <w:highlight w:val="none"/>
        </w:rPr>
      </w:pPr>
    </w:p>
    <w:p w14:paraId="714023F2">
      <w:pPr>
        <w:rPr>
          <w:rFonts w:hint="default" w:ascii="Times New Roman" w:hAnsi="Times New Roman" w:cs="Times New Roman"/>
          <w:sz w:val="24"/>
          <w:szCs w:val="24"/>
          <w:highlight w:val="none"/>
        </w:rPr>
      </w:pPr>
    </w:p>
    <w:p w14:paraId="27E41253">
      <w:pPr>
        <w:rPr>
          <w:rFonts w:hint="default" w:ascii="Times New Roman" w:hAnsi="Times New Roman" w:cs="Times New Roman"/>
          <w:sz w:val="24"/>
          <w:szCs w:val="24"/>
          <w:highlight w:val="none"/>
        </w:rPr>
      </w:pPr>
    </w:p>
    <w:p w14:paraId="55FA16C5">
      <w:pPr>
        <w:rPr>
          <w:rFonts w:hint="default" w:ascii="Times New Roman" w:hAnsi="Times New Roman" w:cs="Times New Roman"/>
          <w:sz w:val="24"/>
          <w:szCs w:val="24"/>
          <w:highlight w:val="none"/>
        </w:rPr>
      </w:pPr>
    </w:p>
    <w:p w14:paraId="4289BBFD">
      <w:pPr>
        <w:rPr>
          <w:rFonts w:hint="default" w:ascii="Times New Roman" w:hAnsi="Times New Roman" w:cs="Times New Roman"/>
          <w:sz w:val="24"/>
          <w:szCs w:val="24"/>
          <w:highlight w:val="none"/>
        </w:rPr>
      </w:pPr>
    </w:p>
    <w:p w14:paraId="090FA314">
      <w:pPr>
        <w:rPr>
          <w:rFonts w:hint="default" w:ascii="Times New Roman" w:hAnsi="Times New Roman" w:cs="Times New Roman"/>
          <w:sz w:val="24"/>
          <w:szCs w:val="24"/>
          <w:highlight w:val="none"/>
        </w:rPr>
      </w:pPr>
    </w:p>
    <w:p w14:paraId="10A7023A">
      <w:pPr>
        <w:rPr>
          <w:rFonts w:hint="default" w:ascii="Times New Roman" w:hAnsi="Times New Roman" w:cs="Times New Roman"/>
          <w:sz w:val="24"/>
          <w:szCs w:val="24"/>
          <w:highlight w:val="none"/>
        </w:rPr>
      </w:pPr>
    </w:p>
    <w:p w14:paraId="335D3423">
      <w:pPr>
        <w:rPr>
          <w:rFonts w:hint="default" w:ascii="Times New Roman" w:hAnsi="Times New Roman" w:cs="Times New Roman"/>
          <w:sz w:val="24"/>
          <w:szCs w:val="24"/>
          <w:highlight w:val="none"/>
        </w:rPr>
      </w:pPr>
    </w:p>
    <w:p w14:paraId="48BA7E1F">
      <w:pPr>
        <w:rPr>
          <w:rFonts w:hint="default" w:ascii="Times New Roman" w:hAnsi="Times New Roman" w:cs="Times New Roman"/>
          <w:sz w:val="24"/>
          <w:szCs w:val="24"/>
          <w:highlight w:val="none"/>
        </w:rPr>
      </w:pPr>
    </w:p>
    <w:p w14:paraId="10B1D602">
      <w:pPr>
        <w:rPr>
          <w:rFonts w:hint="default" w:ascii="Times New Roman" w:hAnsi="Times New Roman" w:cs="Times New Roman"/>
          <w:sz w:val="24"/>
          <w:szCs w:val="24"/>
          <w:highlight w:val="none"/>
        </w:rPr>
      </w:pPr>
    </w:p>
    <w:p w14:paraId="568DB85D">
      <w:pPr>
        <w:rPr>
          <w:rFonts w:hint="default" w:ascii="Times New Roman" w:hAnsi="Times New Roman" w:cs="Times New Roman"/>
          <w:sz w:val="24"/>
          <w:szCs w:val="24"/>
          <w:highlight w:val="none"/>
        </w:rPr>
      </w:pPr>
    </w:p>
    <w:p w14:paraId="760A5C20">
      <w:pPr>
        <w:rPr>
          <w:rFonts w:hint="default" w:ascii="Times New Roman" w:hAnsi="Times New Roman" w:cs="Times New Roman"/>
          <w:sz w:val="24"/>
          <w:szCs w:val="24"/>
          <w:highlight w:val="none"/>
        </w:rPr>
      </w:pPr>
    </w:p>
    <w:p w14:paraId="31B733CC">
      <w:pPr>
        <w:rPr>
          <w:rFonts w:hint="default" w:ascii="Times New Roman" w:hAnsi="Times New Roman" w:cs="Times New Roman"/>
          <w:sz w:val="24"/>
          <w:szCs w:val="24"/>
          <w:highlight w:val="none"/>
        </w:rPr>
      </w:pPr>
    </w:p>
    <w:p w14:paraId="14ABCF22">
      <w:pPr>
        <w:rPr>
          <w:rFonts w:hint="default" w:ascii="Times New Roman" w:hAnsi="Times New Roman" w:cs="Times New Roman"/>
          <w:sz w:val="24"/>
          <w:szCs w:val="24"/>
          <w:highlight w:val="none"/>
        </w:rPr>
      </w:pPr>
    </w:p>
    <w:p w14:paraId="118FFF8E">
      <w:pPr>
        <w:rPr>
          <w:rFonts w:hint="default" w:ascii="Times New Roman" w:hAnsi="Times New Roman" w:cs="Times New Roman"/>
          <w:sz w:val="24"/>
          <w:szCs w:val="24"/>
          <w:highlight w:val="none"/>
        </w:rPr>
      </w:pPr>
    </w:p>
    <w:p w14:paraId="19D32BA1">
      <w:pPr>
        <w:rPr>
          <w:rFonts w:hint="default" w:ascii="Times New Roman" w:hAnsi="Times New Roman" w:cs="Times New Roman"/>
          <w:sz w:val="24"/>
          <w:szCs w:val="24"/>
          <w:highlight w:val="none"/>
        </w:rPr>
      </w:pPr>
    </w:p>
    <w:p w14:paraId="6A10D6B4">
      <w:pPr>
        <w:rPr>
          <w:rFonts w:hint="default" w:ascii="Times New Roman" w:hAnsi="Times New Roman" w:cs="Times New Roman"/>
          <w:sz w:val="24"/>
          <w:szCs w:val="24"/>
          <w:highlight w:val="none"/>
        </w:rPr>
      </w:pPr>
    </w:p>
    <w:p w14:paraId="5D9441B5">
      <w:pPr>
        <w:rPr>
          <w:rFonts w:hint="default" w:ascii="Times New Roman" w:hAnsi="Times New Roman" w:cs="Times New Roman"/>
          <w:sz w:val="24"/>
          <w:szCs w:val="24"/>
          <w:highlight w:val="none"/>
        </w:rPr>
      </w:pPr>
    </w:p>
    <w:p w14:paraId="079DD1F0">
      <w:pPr>
        <w:rPr>
          <w:rFonts w:hint="default" w:ascii="Times New Roman" w:hAnsi="Times New Roman" w:cs="Times New Roman"/>
          <w:sz w:val="24"/>
          <w:szCs w:val="24"/>
          <w:highlight w:val="none"/>
        </w:rPr>
      </w:pPr>
    </w:p>
    <w:p w14:paraId="74F509A3">
      <w:pP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highlight w:val="none"/>
          <w:lang w:val="en-US" w:eastAsia="zh-CN" w:bidi="ar-SA"/>
        </w:rPr>
        <w:drawing>
          <wp:inline distT="0" distB="0" distL="114300" distR="114300">
            <wp:extent cx="5716905" cy="3841115"/>
            <wp:effectExtent l="0" t="0" r="10795" b="6985"/>
            <wp:docPr id="2" name="图片 2" descr="03.CKAP2gene_gender.p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03.CKAP2gene_gender.p-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16905" cy="3841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C068AB">
      <w:pPr>
        <w:numPr>
          <w:ilvl w:val="0"/>
          <w:numId w:val="0"/>
        </w:numPr>
        <w:spacing w:line="480" w:lineRule="auto"/>
        <w:jc w:val="both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 xml:space="preserve">Supplementary Figure S1.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Analysis of CKAP2 mRNA expression levels across different </w:t>
      </w:r>
      <w:r>
        <w:rPr>
          <w:rFonts w:hint="eastAsia" w:ascii="Times New Roman" w:hAnsi="Times New Roman" w:cs="Times New Roman"/>
          <w:sz w:val="24"/>
          <w:szCs w:val="24"/>
          <w:highlight w:val="green"/>
          <w:lang w:val="en-US" w:eastAsia="zh-CN"/>
        </w:rPr>
        <w:t>sex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and pathological stages of LUSC. (A) CKAP2 expression by gender. (B) CKAP2 expression by pathological stage. CKAP2, cytoskeleton-associated protein 2; LUSC, lung squamous cell carcinoma.</w:t>
      </w:r>
    </w:p>
    <w:p w14:paraId="27B08C14">
      <w:pP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highlight w:val="none"/>
          <w:lang w:val="en-US" w:eastAsia="zh-CN" w:bidi="ar-SA"/>
        </w:rPr>
      </w:pPr>
    </w:p>
    <w:p w14:paraId="074F5A46">
      <w:pPr>
        <w:pStyle w:val="2"/>
        <w:keepNext w:val="0"/>
        <w:keepLines w:val="0"/>
        <w:widowControl/>
        <w:suppressLineNumbers w:val="0"/>
        <w:shd w:val="clear" w:fill="FFFFFF"/>
        <w:spacing w:before="384" w:beforeAutospacing="0" w:after="192" w:afterAutospacing="0" w:line="360" w:lineRule="atLeast"/>
        <w:ind w:left="0" w:right="0" w:firstLine="0"/>
        <w:rPr>
          <w:rFonts w:hint="default" w:ascii="Times New Roman" w:hAnsi="Times New Roman" w:eastAsia="Segoe UI" w:cs="Times New Roman"/>
          <w:b/>
          <w:bCs/>
          <w:caps w:val="0"/>
          <w:color w:val="0F1115"/>
          <w:spacing w:val="0"/>
          <w:sz w:val="24"/>
          <w:szCs w:val="24"/>
          <w:shd w:val="clear" w:fill="FFFFFF"/>
        </w:rPr>
      </w:pPr>
    </w:p>
    <w:p w14:paraId="6893BF13">
      <w:pPr>
        <w:pStyle w:val="2"/>
        <w:keepNext w:val="0"/>
        <w:keepLines w:val="0"/>
        <w:widowControl/>
        <w:suppressLineNumbers w:val="0"/>
        <w:shd w:val="clear" w:fill="FFFFFF"/>
        <w:spacing w:before="384" w:beforeAutospacing="0" w:after="192" w:afterAutospacing="0" w:line="360" w:lineRule="atLeast"/>
        <w:ind w:left="0" w:right="0" w:firstLine="0"/>
        <w:rPr>
          <w:rFonts w:hint="default" w:ascii="Times New Roman" w:hAnsi="Times New Roman" w:eastAsia="Segoe UI" w:cs="Times New Roman"/>
          <w:b/>
          <w:bCs/>
          <w:caps w:val="0"/>
          <w:color w:val="0F1115"/>
          <w:spacing w:val="0"/>
          <w:sz w:val="24"/>
          <w:szCs w:val="24"/>
          <w:shd w:val="clear" w:fill="FFFFFF"/>
        </w:rPr>
      </w:pPr>
    </w:p>
    <w:p w14:paraId="2CCF150E">
      <w:pPr>
        <w:rPr>
          <w:rFonts w:hint="default" w:ascii="Times New Roman" w:hAnsi="Times New Roman" w:eastAsia="Segoe UI" w:cs="Times New Roman"/>
          <w:b/>
          <w:bCs/>
          <w:caps w:val="0"/>
          <w:color w:val="0F1115"/>
          <w:spacing w:val="0"/>
          <w:sz w:val="24"/>
          <w:szCs w:val="24"/>
          <w:shd w:val="clear" w:fill="FFFFFF"/>
        </w:rPr>
      </w:pPr>
    </w:p>
    <w:p w14:paraId="0A416A84">
      <w:pPr>
        <w:rPr>
          <w:rFonts w:hint="default" w:ascii="Times New Roman" w:hAnsi="Times New Roman" w:eastAsia="Segoe UI" w:cs="Times New Roman"/>
          <w:b/>
          <w:bCs/>
          <w:caps w:val="0"/>
          <w:color w:val="0F1115"/>
          <w:spacing w:val="0"/>
          <w:sz w:val="24"/>
          <w:szCs w:val="24"/>
          <w:shd w:val="clear" w:fill="FFFFFF"/>
        </w:rPr>
      </w:pPr>
    </w:p>
    <w:p w14:paraId="5A06D2BC">
      <w:pPr>
        <w:pStyle w:val="2"/>
        <w:keepNext w:val="0"/>
        <w:keepLines w:val="0"/>
        <w:widowControl/>
        <w:suppressLineNumbers w:val="0"/>
        <w:shd w:val="clear" w:fill="FFFFFF"/>
        <w:spacing w:before="384" w:beforeAutospacing="0" w:after="192" w:afterAutospacing="0" w:line="360" w:lineRule="atLeast"/>
        <w:ind w:left="0" w:right="0" w:firstLine="0"/>
        <w:rPr>
          <w:rFonts w:hint="default" w:ascii="Times New Roman" w:hAnsi="Times New Roman" w:eastAsia="Segoe UI" w:cs="Times New Roman"/>
          <w:b/>
          <w:bCs/>
          <w:caps w:val="0"/>
          <w:color w:val="0F1115"/>
          <w:spacing w:val="0"/>
          <w:sz w:val="24"/>
          <w:szCs w:val="24"/>
          <w:shd w:val="clear" w:fill="FFFFFF"/>
        </w:rPr>
      </w:pPr>
    </w:p>
    <w:p w14:paraId="2723879A">
      <w:pPr>
        <w:rPr>
          <w:rFonts w:hint="default" w:ascii="Times New Roman" w:hAnsi="Times New Roman" w:eastAsia="Segoe UI" w:cs="Times New Roman"/>
          <w:b/>
          <w:bCs/>
          <w:caps w:val="0"/>
          <w:color w:val="0F1115"/>
          <w:spacing w:val="0"/>
          <w:sz w:val="24"/>
          <w:szCs w:val="24"/>
          <w:shd w:val="clear" w:fill="FFFFFF"/>
        </w:rPr>
      </w:pPr>
    </w:p>
    <w:p w14:paraId="046676C4">
      <w:pPr>
        <w:rPr>
          <w:rFonts w:hint="default" w:ascii="Times New Roman" w:hAnsi="Times New Roman" w:eastAsia="Segoe UI" w:cs="Times New Roman"/>
          <w:b/>
          <w:bCs/>
          <w:caps w:val="0"/>
          <w:color w:val="0F1115"/>
          <w:spacing w:val="0"/>
          <w:sz w:val="24"/>
          <w:szCs w:val="24"/>
          <w:shd w:val="clear" w:fill="FFFFFF"/>
        </w:rPr>
      </w:pPr>
    </w:p>
    <w:p w14:paraId="36393E3F">
      <w:pPr>
        <w:rPr>
          <w:rFonts w:hint="default" w:ascii="Times New Roman" w:hAnsi="Times New Roman" w:eastAsia="Segoe UI" w:cs="Times New Roman"/>
          <w:b/>
          <w:bCs/>
          <w:caps w:val="0"/>
          <w:color w:val="0F1115"/>
          <w:spacing w:val="0"/>
          <w:sz w:val="24"/>
          <w:szCs w:val="24"/>
          <w:shd w:val="clear" w:fill="FFFFFF"/>
        </w:rPr>
      </w:pPr>
    </w:p>
    <w:p w14:paraId="709AE259">
      <w:pPr>
        <w:pStyle w:val="2"/>
        <w:keepNext w:val="0"/>
        <w:keepLines w:val="0"/>
        <w:widowControl/>
        <w:suppressLineNumbers w:val="0"/>
        <w:shd w:val="clear" w:fill="FFFFFF"/>
        <w:spacing w:before="384" w:beforeAutospacing="0" w:after="192" w:afterAutospacing="0" w:line="360" w:lineRule="atLeast"/>
        <w:ind w:left="0" w:right="0" w:firstLine="0"/>
        <w:jc w:val="center"/>
        <w:rPr>
          <w:rFonts w:hint="default" w:ascii="Times New Roman" w:hAnsi="Times New Roman" w:eastAsia="Segoe UI" w:cs="Times New Roman"/>
          <w:b/>
          <w:bCs/>
          <w:caps w:val="0"/>
          <w:color w:val="0F1115"/>
          <w:spacing w:val="0"/>
          <w:sz w:val="24"/>
          <w:szCs w:val="24"/>
          <w:shd w:val="clear" w:fill="FFFFFF"/>
        </w:rPr>
      </w:pPr>
      <w:r>
        <w:rPr>
          <w:rFonts w:hint="default" w:ascii="Times New Roman" w:hAnsi="Times New Roman" w:eastAsia="Segoe UI" w:cs="Times New Roman"/>
          <w:b/>
          <w:bCs/>
          <w:caps w:val="0"/>
          <w:color w:val="0F1115"/>
          <w:spacing w:val="0"/>
          <w:sz w:val="24"/>
          <w:szCs w:val="24"/>
          <w:shd w:val="clear" w:fill="FFFFFF"/>
        </w:rPr>
        <w:t>Supplementary Table S</w:t>
      </w:r>
      <w:r>
        <w:rPr>
          <w:rFonts w:hint="default" w:ascii="Times New Roman" w:hAnsi="Times New Roman" w:cs="Times New Roman"/>
          <w:b/>
          <w:bCs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2</w:t>
      </w:r>
      <w:r>
        <w:rPr>
          <w:rFonts w:hint="default" w:ascii="Times New Roman" w:hAnsi="Times New Roman" w:eastAsia="Segoe UI" w:cs="Times New Roman"/>
          <w:b/>
          <w:bCs/>
          <w:caps w:val="0"/>
          <w:color w:val="0F1115"/>
          <w:spacing w:val="0"/>
          <w:sz w:val="24"/>
          <w:szCs w:val="24"/>
          <w:shd w:val="clear" w:fill="FFFFFF"/>
        </w:rPr>
        <w:t>. Top 20 genes positively and negatively correlated with CKAP2 mRNA expression in LUSC (TCGA cohort)</w:t>
      </w:r>
    </w:p>
    <w:tbl>
      <w:tblPr>
        <w:tblStyle w:val="4"/>
        <w:tblW w:w="3241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2709"/>
        <w:gridCol w:w="2794"/>
      </w:tblGrid>
      <w:tr w14:paraId="74E8A7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D89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Rank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8D1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Positively_Correlated_Gene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B70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Negatively_Correlated_Gene</w:t>
            </w:r>
          </w:p>
        </w:tc>
      </w:tr>
      <w:tr w14:paraId="21A5AE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007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4A7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BORA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F4D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CHRDL2</w:t>
            </w:r>
          </w:p>
        </w:tc>
      </w:tr>
      <w:tr w14:paraId="7FAE53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15F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A55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SKA3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B2E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CAPN8</w:t>
            </w:r>
          </w:p>
        </w:tc>
      </w:tr>
      <w:tr w14:paraId="1CBBFD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E19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58B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DIAPH3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98D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CPNE5</w:t>
            </w:r>
          </w:p>
        </w:tc>
      </w:tr>
      <w:tr w14:paraId="767ECE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08E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01C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RFC3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578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IGLL5</w:t>
            </w:r>
          </w:p>
        </w:tc>
      </w:tr>
      <w:tr w14:paraId="41AF37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E77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0BE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NUDT15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AE9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CD79A</w:t>
            </w:r>
          </w:p>
        </w:tc>
      </w:tr>
      <w:tr w14:paraId="633313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161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F86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ECT2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DC1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CD19</w:t>
            </w:r>
          </w:p>
        </w:tc>
      </w:tr>
      <w:tr w14:paraId="2EE0F6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92C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EB9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SUCLA2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8D6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C11orf96</w:t>
            </w:r>
          </w:p>
        </w:tc>
      </w:tr>
      <w:tr w14:paraId="6BA035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AEF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50F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SLC25A15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6BC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SLC9A3R2</w:t>
            </w:r>
          </w:p>
        </w:tc>
      </w:tr>
      <w:tr w14:paraId="68C69B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160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FCF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KPNA3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1AE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CD79B</w:t>
            </w:r>
          </w:p>
        </w:tc>
      </w:tr>
      <w:tr w14:paraId="6D6A91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C1C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40A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NUFIP1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F10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CCDC69</w:t>
            </w:r>
          </w:p>
        </w:tc>
      </w:tr>
      <w:tr w14:paraId="5EA1E4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0C3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853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SMC2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24B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MEI1</w:t>
            </w:r>
          </w:p>
        </w:tc>
      </w:tr>
      <w:tr w14:paraId="6845E0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54B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119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753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JSRP1</w:t>
            </w:r>
          </w:p>
        </w:tc>
      </w:tr>
      <w:tr w14:paraId="3E68A5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E18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EE2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RACGAP1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763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VASN</w:t>
            </w:r>
          </w:p>
        </w:tc>
      </w:tr>
      <w:tr w14:paraId="7C12EB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059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DE8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RMI1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B84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RRAS</w:t>
            </w:r>
          </w:p>
        </w:tc>
      </w:tr>
      <w:tr w14:paraId="0CC83C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382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9DDF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HMGB1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156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IGLL1</w:t>
            </w:r>
          </w:p>
        </w:tc>
      </w:tr>
      <w:tr w14:paraId="322BD3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D01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9A1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DTL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D57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P2RX1</w:t>
            </w:r>
          </w:p>
        </w:tc>
      </w:tr>
      <w:tr w14:paraId="7F749A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160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2CD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BUB1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CA8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PTGDS</w:t>
            </w:r>
          </w:p>
        </w:tc>
      </w:tr>
      <w:tr w14:paraId="0E0048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2BF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785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SPC25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3F5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SOD3</w:t>
            </w:r>
          </w:p>
        </w:tc>
      </w:tr>
      <w:tr w14:paraId="3A101C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2C2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76B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CKAP2L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970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CRIP1</w:t>
            </w:r>
          </w:p>
        </w:tc>
      </w:tr>
      <w:tr w14:paraId="1C41B9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A30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E43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KIF11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095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TNFRSF13B</w:t>
            </w:r>
          </w:p>
        </w:tc>
      </w:tr>
    </w:tbl>
    <w:p w14:paraId="59C18D91">
      <w:pPr>
        <w:numPr>
          <w:ilvl w:val="0"/>
          <w:numId w:val="0"/>
        </w:numPr>
        <w:spacing w:line="480" w:lineRule="auto"/>
        <w:jc w:val="both"/>
        <w:rPr>
          <w:rFonts w:hint="default" w:ascii="Times New Roman" w:hAnsi="Times New Roman" w:cs="Times New Roman"/>
          <w:sz w:val="24"/>
          <w:szCs w:val="24"/>
          <w:highlight w:val="green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highlight w:val="green"/>
        </w:rPr>
        <w:t>Notes:</w:t>
      </w:r>
      <w:r>
        <w:rPr>
          <w:rFonts w:hint="eastAsia" w:ascii="Times New Roman" w:hAnsi="Times New Roman" w:cs="Times New Roman"/>
          <w:b/>
          <w:bCs/>
          <w:sz w:val="24"/>
          <w:szCs w:val="24"/>
          <w:highlight w:val="green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highlight w:val="green"/>
          <w:lang w:val="en-US" w:eastAsia="zh-CN"/>
        </w:rPr>
        <w:t>Positively correlated genes (co-expressed) and negatively correlated genes (antagonistically expressed) with CKAP2 were identified based on Pearson correlation analysis in the TCGA-LUSC cohort.</w:t>
      </w:r>
      <w:r>
        <w:rPr>
          <w:rFonts w:hint="eastAsia" w:ascii="Times New Roman" w:hAnsi="Times New Roman" w:cs="Times New Roman"/>
          <w:sz w:val="24"/>
          <w:szCs w:val="24"/>
          <w:highlight w:val="green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highlight w:val="green"/>
          <w:lang w:val="en-US" w:eastAsia="zh-CN"/>
        </w:rPr>
        <w:t>CKAP2, cytoskeleton-associated protein 2; LUSC, lung squamous cell carcinoma</w:t>
      </w:r>
      <w:r>
        <w:rPr>
          <w:rFonts w:hint="eastAsia" w:ascii="Times New Roman" w:hAnsi="Times New Roman" w:cs="Times New Roman"/>
          <w:sz w:val="24"/>
          <w:szCs w:val="24"/>
          <w:highlight w:val="green"/>
          <w:lang w:val="en-US" w:eastAsia="zh-CN"/>
        </w:rPr>
        <w:t xml:space="preserve">; </w:t>
      </w:r>
      <w:r>
        <w:rPr>
          <w:rFonts w:hint="default" w:ascii="Times New Roman" w:hAnsi="Times New Roman" w:cs="Times New Roman"/>
          <w:sz w:val="24"/>
          <w:szCs w:val="24"/>
          <w:highlight w:val="green"/>
          <w:lang w:val="en-US" w:eastAsia="zh-CN"/>
        </w:rPr>
        <w:t>TCGA</w:t>
      </w:r>
      <w:r>
        <w:rPr>
          <w:rFonts w:hint="eastAsia" w:ascii="Times New Roman" w:hAnsi="Times New Roman" w:cs="Times New Roman"/>
          <w:sz w:val="24"/>
          <w:szCs w:val="24"/>
          <w:highlight w:val="green"/>
          <w:lang w:val="en-US" w:eastAsia="zh-CN"/>
        </w:rPr>
        <w:t>, The Cancer Genome Atlas</w:t>
      </w:r>
    </w:p>
    <w:p w14:paraId="03F70273">
      <w:pP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highlight w:val="none"/>
          <w:lang w:val="en-US" w:eastAsia="zh-CN" w:bidi="ar-SA"/>
        </w:rPr>
      </w:pPr>
    </w:p>
    <w:p w14:paraId="30A5FF7F">
      <w:pP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highlight w:val="none"/>
          <w:lang w:val="en-US" w:eastAsia="zh-CN" w:bidi="ar-SA"/>
        </w:rPr>
      </w:pPr>
    </w:p>
    <w:p w14:paraId="417C519E">
      <w:pP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highlight w:val="none"/>
          <w:lang w:val="en-US" w:eastAsia="zh-CN" w:bidi="ar-SA"/>
        </w:rPr>
      </w:pPr>
    </w:p>
    <w:p w14:paraId="3E36BE80">
      <w:pP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highlight w:val="none"/>
          <w:lang w:val="en-US" w:eastAsia="zh-CN" w:bidi="ar-SA"/>
        </w:rPr>
      </w:pPr>
    </w:p>
    <w:p w14:paraId="101FEE53">
      <w:pP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highlight w:val="none"/>
          <w:lang w:val="en-US" w:eastAsia="zh-CN" w:bidi="ar-SA"/>
        </w:rPr>
      </w:pPr>
    </w:p>
    <w:p w14:paraId="12D66DF0">
      <w:pP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highlight w:val="none"/>
          <w:lang w:val="en-US" w:eastAsia="zh-CN" w:bidi="ar-SA"/>
        </w:rPr>
      </w:pPr>
    </w:p>
    <w:p w14:paraId="3049E4D9">
      <w:pP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highlight w:val="none"/>
          <w:lang w:val="en-US" w:eastAsia="zh-CN" w:bidi="ar-SA"/>
        </w:rPr>
      </w:pPr>
    </w:p>
    <w:p w14:paraId="78CC9830">
      <w:pP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highlight w:val="none"/>
          <w:lang w:val="en-US" w:eastAsia="zh-CN" w:bidi="ar-SA"/>
        </w:rPr>
      </w:pPr>
    </w:p>
    <w:p w14:paraId="10B20E4A">
      <w:pP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highlight w:val="none"/>
          <w:lang w:val="en-US" w:eastAsia="zh-CN" w:bidi="ar-SA"/>
        </w:rPr>
      </w:pPr>
    </w:p>
    <w:p w14:paraId="486F152C">
      <w:pP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highlight w:val="none"/>
          <w:lang w:val="en-US" w:eastAsia="zh-CN" w:bidi="ar-SA"/>
        </w:rPr>
      </w:pPr>
    </w:p>
    <w:p w14:paraId="08F5527C">
      <w:pP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highlight w:val="none"/>
          <w:lang w:val="en-US" w:eastAsia="zh-CN" w:bidi="ar-SA"/>
        </w:rPr>
      </w:pPr>
    </w:p>
    <w:p w14:paraId="1C3EF18E">
      <w:pP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highlight w:val="none"/>
          <w:lang w:val="en-US" w:eastAsia="zh-CN" w:bidi="ar-SA"/>
        </w:rPr>
      </w:pPr>
    </w:p>
    <w:p w14:paraId="168906E1">
      <w:pP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highlight w:val="none"/>
          <w:lang w:val="en-US" w:eastAsia="zh-CN" w:bidi="ar-SA"/>
        </w:rPr>
      </w:pPr>
    </w:p>
    <w:p w14:paraId="2ABDAE8A">
      <w:pP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highlight w:val="none"/>
          <w:lang w:val="en-US" w:eastAsia="zh-CN" w:bidi="ar-SA"/>
        </w:rPr>
      </w:pPr>
    </w:p>
    <w:p w14:paraId="6F3B61B8">
      <w:pP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highlight w:val="none"/>
          <w:lang w:val="en-US" w:eastAsia="zh-CN" w:bidi="ar-SA"/>
        </w:rPr>
      </w:pPr>
    </w:p>
    <w:p w14:paraId="4C2CF61A">
      <w:pP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highlight w:val="none"/>
          <w:lang w:val="en-US" w:eastAsia="zh-CN" w:bidi="ar-SA"/>
        </w:rPr>
      </w:pPr>
    </w:p>
    <w:p w14:paraId="33C7F316">
      <w:pP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highlight w:val="none"/>
          <w:lang w:val="en-US" w:eastAsia="zh-CN" w:bidi="ar-SA"/>
        </w:rPr>
      </w:pPr>
    </w:p>
    <w:p w14:paraId="69AC82B0">
      <w:pP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highlight w:val="none"/>
          <w:lang w:val="en-US" w:eastAsia="zh-CN" w:bidi="ar-SA"/>
        </w:rPr>
      </w:pPr>
    </w:p>
    <w:p w14:paraId="3F3E957D">
      <w:pP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highlight w:val="none"/>
          <w:lang w:val="en-US" w:eastAsia="zh-CN" w:bidi="ar-SA"/>
        </w:rPr>
      </w:pPr>
    </w:p>
    <w:tbl>
      <w:tblPr>
        <w:tblStyle w:val="4"/>
        <w:tblpPr w:leftFromText="180" w:rightFromText="180" w:vertAnchor="text" w:horzAnchor="page" w:tblpX="1809" w:tblpY="625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48"/>
        <w:gridCol w:w="1126"/>
        <w:gridCol w:w="1671"/>
        <w:gridCol w:w="775"/>
        <w:gridCol w:w="1056"/>
        <w:gridCol w:w="1374"/>
        <w:gridCol w:w="1163"/>
      </w:tblGrid>
      <w:tr w14:paraId="1EC274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54" w:hRule="atLeast"/>
          <w:tblHeader/>
        </w:trPr>
        <w:tc>
          <w:tcPr>
            <w:tcW w:w="1250" w:type="dxa"/>
            <w:shd w:val="clear" w:color="auto" w:fill="FFFFFF"/>
            <w:tcMar>
              <w:top w:w="67" w:type="dxa"/>
              <w:left w:w="0" w:type="dxa"/>
              <w:bottom w:w="67" w:type="dxa"/>
              <w:right w:w="107" w:type="dxa"/>
            </w:tcMar>
            <w:vAlign w:val="center"/>
          </w:tcPr>
          <w:p w14:paraId="38E66D4C">
            <w:pPr>
              <w:keepNext w:val="0"/>
              <w:keepLines w:val="0"/>
              <w:widowControl/>
              <w:suppressLineNumbers w:val="0"/>
              <w:spacing w:line="167" w:lineRule="atLeast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Exposure</w:t>
            </w:r>
          </w:p>
        </w:tc>
        <w:tc>
          <w:tcPr>
            <w:tcW w:w="1127" w:type="dxa"/>
            <w:shd w:val="clear" w:color="auto" w:fill="FFFFFF"/>
            <w:tcMar>
              <w:top w:w="67" w:type="dxa"/>
              <w:left w:w="107" w:type="dxa"/>
              <w:bottom w:w="67" w:type="dxa"/>
              <w:right w:w="107" w:type="dxa"/>
            </w:tcMar>
            <w:vAlign w:val="center"/>
          </w:tcPr>
          <w:p w14:paraId="447FEF8C">
            <w:pPr>
              <w:keepNext w:val="0"/>
              <w:keepLines w:val="0"/>
              <w:widowControl/>
              <w:suppressLineNumbers w:val="0"/>
              <w:spacing w:line="167" w:lineRule="atLeast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Outcome</w:t>
            </w:r>
          </w:p>
        </w:tc>
        <w:tc>
          <w:tcPr>
            <w:tcW w:w="1683" w:type="dxa"/>
            <w:shd w:val="clear" w:color="auto" w:fill="FFFFFF"/>
            <w:tcMar>
              <w:top w:w="67" w:type="dxa"/>
              <w:left w:w="107" w:type="dxa"/>
              <w:bottom w:w="67" w:type="dxa"/>
              <w:right w:w="107" w:type="dxa"/>
            </w:tcMar>
            <w:vAlign w:val="center"/>
          </w:tcPr>
          <w:p w14:paraId="21C4CED0">
            <w:pPr>
              <w:keepNext w:val="0"/>
              <w:keepLines w:val="0"/>
              <w:widowControl/>
              <w:suppressLineNumbers w:val="0"/>
              <w:spacing w:line="167" w:lineRule="atLeast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Method</w:t>
            </w:r>
          </w:p>
        </w:tc>
        <w:tc>
          <w:tcPr>
            <w:tcW w:w="770" w:type="dxa"/>
            <w:shd w:val="clear" w:color="auto" w:fill="FFFFFF"/>
            <w:tcMar>
              <w:top w:w="67" w:type="dxa"/>
              <w:left w:w="107" w:type="dxa"/>
              <w:bottom w:w="67" w:type="dxa"/>
              <w:right w:w="107" w:type="dxa"/>
            </w:tcMar>
            <w:vAlign w:val="center"/>
          </w:tcPr>
          <w:p w14:paraId="0B8CA8DB">
            <w:pPr>
              <w:keepNext w:val="0"/>
              <w:keepLines w:val="0"/>
              <w:widowControl/>
              <w:suppressLineNumbers w:val="0"/>
              <w:spacing w:line="167" w:lineRule="atLeast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nSNP</w:t>
            </w:r>
          </w:p>
        </w:tc>
        <w:tc>
          <w:tcPr>
            <w:tcW w:w="1063" w:type="dxa"/>
            <w:shd w:val="clear" w:color="auto" w:fill="FFFFFF"/>
            <w:tcMar>
              <w:top w:w="67" w:type="dxa"/>
              <w:left w:w="107" w:type="dxa"/>
              <w:bottom w:w="67" w:type="dxa"/>
              <w:right w:w="107" w:type="dxa"/>
            </w:tcMar>
            <w:vAlign w:val="center"/>
          </w:tcPr>
          <w:p w14:paraId="5FE0E7D0">
            <w:pPr>
              <w:keepNext w:val="0"/>
              <w:keepLines w:val="0"/>
              <w:widowControl/>
              <w:suppressLineNumbers w:val="0"/>
              <w:spacing w:line="167" w:lineRule="atLeast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Odds Ratio</w:t>
            </w:r>
          </w:p>
        </w:tc>
        <w:tc>
          <w:tcPr>
            <w:tcW w:w="1353" w:type="dxa"/>
            <w:shd w:val="clear" w:color="auto" w:fill="FFFFFF"/>
            <w:tcMar>
              <w:top w:w="67" w:type="dxa"/>
              <w:left w:w="107" w:type="dxa"/>
              <w:bottom w:w="67" w:type="dxa"/>
              <w:right w:w="107" w:type="dxa"/>
            </w:tcMar>
            <w:vAlign w:val="center"/>
          </w:tcPr>
          <w:p w14:paraId="6D48D2C5">
            <w:pP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 xml:space="preserve">95%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Confidence Interval</w:t>
            </w:r>
          </w:p>
        </w:tc>
        <w:tc>
          <w:tcPr>
            <w:tcW w:w="1167" w:type="dxa"/>
            <w:shd w:val="clear" w:color="auto" w:fill="FFFFFF"/>
            <w:tcMar>
              <w:top w:w="67" w:type="dxa"/>
              <w:left w:w="107" w:type="dxa"/>
              <w:bottom w:w="67" w:type="dxa"/>
              <w:right w:w="107" w:type="dxa"/>
            </w:tcMar>
            <w:vAlign w:val="center"/>
          </w:tcPr>
          <w:p w14:paraId="61FFB816">
            <w:pPr>
              <w:keepNext w:val="0"/>
              <w:keepLines w:val="0"/>
              <w:widowControl/>
              <w:suppressLineNumbers w:val="0"/>
              <w:spacing w:line="167" w:lineRule="atLeast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/>
                <w:iCs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-value</w:t>
            </w:r>
          </w:p>
        </w:tc>
      </w:tr>
      <w:tr w14:paraId="52515D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54" w:hRule="atLeast"/>
        </w:trPr>
        <w:tc>
          <w:tcPr>
            <w:tcW w:w="1250" w:type="dxa"/>
            <w:shd w:val="clear" w:color="auto" w:fill="FFFFFF"/>
            <w:tcMar>
              <w:top w:w="67" w:type="dxa"/>
              <w:left w:w="0" w:type="dxa"/>
              <w:bottom w:w="67" w:type="dxa"/>
              <w:right w:w="107" w:type="dxa"/>
            </w:tcMar>
            <w:vAlign w:val="center"/>
          </w:tcPr>
          <w:p w14:paraId="01C7D685">
            <w:pPr>
              <w:keepNext w:val="0"/>
              <w:keepLines w:val="0"/>
              <w:widowControl/>
              <w:suppressLineNumbers w:val="0"/>
              <w:spacing w:line="167" w:lineRule="atLeast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CKAP2 (deCODE)</w:t>
            </w:r>
          </w:p>
        </w:tc>
        <w:tc>
          <w:tcPr>
            <w:tcW w:w="1127" w:type="dxa"/>
            <w:shd w:val="clear" w:color="auto" w:fill="FFFFFF"/>
            <w:tcMar>
              <w:top w:w="67" w:type="dxa"/>
              <w:left w:w="107" w:type="dxa"/>
              <w:bottom w:w="67" w:type="dxa"/>
              <w:right w:w="107" w:type="dxa"/>
            </w:tcMar>
            <w:vAlign w:val="center"/>
          </w:tcPr>
          <w:p w14:paraId="65AA4218">
            <w:pPr>
              <w:keepNext w:val="0"/>
              <w:keepLines w:val="0"/>
              <w:widowControl/>
              <w:suppressLineNumbers w:val="0"/>
              <w:spacing w:line="167" w:lineRule="atLeast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LUSC</w:t>
            </w:r>
          </w:p>
        </w:tc>
        <w:tc>
          <w:tcPr>
            <w:tcW w:w="1683" w:type="dxa"/>
            <w:shd w:val="clear" w:color="auto" w:fill="FFFFFF"/>
            <w:tcMar>
              <w:top w:w="67" w:type="dxa"/>
              <w:left w:w="107" w:type="dxa"/>
              <w:bottom w:w="67" w:type="dxa"/>
              <w:right w:w="107" w:type="dxa"/>
            </w:tcMar>
            <w:vAlign w:val="center"/>
          </w:tcPr>
          <w:p w14:paraId="1D9440F0">
            <w:pPr>
              <w:keepNext w:val="0"/>
              <w:keepLines w:val="0"/>
              <w:widowControl/>
              <w:suppressLineNumbers w:val="0"/>
              <w:spacing w:line="167" w:lineRule="atLeast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Inverse variance weighted</w:t>
            </w:r>
          </w:p>
        </w:tc>
        <w:tc>
          <w:tcPr>
            <w:tcW w:w="770" w:type="dxa"/>
            <w:shd w:val="clear" w:color="auto" w:fill="FFFFFF"/>
            <w:tcMar>
              <w:top w:w="67" w:type="dxa"/>
              <w:left w:w="107" w:type="dxa"/>
              <w:bottom w:w="67" w:type="dxa"/>
              <w:right w:w="107" w:type="dxa"/>
            </w:tcMar>
            <w:vAlign w:val="center"/>
          </w:tcPr>
          <w:p w14:paraId="45A069D0">
            <w:pPr>
              <w:keepNext w:val="0"/>
              <w:keepLines w:val="0"/>
              <w:widowControl/>
              <w:suppressLineNumbers w:val="0"/>
              <w:spacing w:line="167" w:lineRule="atLeast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14</w:t>
            </w:r>
          </w:p>
        </w:tc>
        <w:tc>
          <w:tcPr>
            <w:tcW w:w="1063" w:type="dxa"/>
            <w:shd w:val="clear" w:color="auto" w:fill="FFFFFF"/>
            <w:tcMar>
              <w:top w:w="67" w:type="dxa"/>
              <w:left w:w="107" w:type="dxa"/>
              <w:bottom w:w="67" w:type="dxa"/>
              <w:right w:w="107" w:type="dxa"/>
            </w:tcMar>
            <w:vAlign w:val="center"/>
          </w:tcPr>
          <w:p w14:paraId="6FACB6AB">
            <w:pPr>
              <w:keepNext w:val="0"/>
              <w:keepLines w:val="0"/>
              <w:widowControl/>
              <w:suppressLineNumbers w:val="0"/>
              <w:spacing w:line="167" w:lineRule="atLeast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0.875</w:t>
            </w:r>
          </w:p>
        </w:tc>
        <w:tc>
          <w:tcPr>
            <w:tcW w:w="1353" w:type="dxa"/>
            <w:shd w:val="clear" w:color="auto" w:fill="FFFFFF"/>
            <w:tcMar>
              <w:top w:w="67" w:type="dxa"/>
              <w:left w:w="107" w:type="dxa"/>
              <w:bottom w:w="67" w:type="dxa"/>
              <w:right w:w="107" w:type="dxa"/>
            </w:tcMar>
            <w:vAlign w:val="center"/>
          </w:tcPr>
          <w:p w14:paraId="335DDE93">
            <w:pPr>
              <w:keepNext w:val="0"/>
              <w:keepLines w:val="0"/>
              <w:widowControl/>
              <w:suppressLineNumbers w:val="0"/>
              <w:spacing w:line="167" w:lineRule="atLeast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0.598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1.281</w:t>
            </w:r>
          </w:p>
        </w:tc>
        <w:tc>
          <w:tcPr>
            <w:tcW w:w="1167" w:type="dxa"/>
            <w:shd w:val="clear" w:color="auto" w:fill="FFFFFF"/>
            <w:tcMar>
              <w:top w:w="67" w:type="dxa"/>
              <w:left w:w="107" w:type="dxa"/>
              <w:bottom w:w="67" w:type="dxa"/>
              <w:right w:w="0" w:type="dxa"/>
            </w:tcMar>
            <w:vAlign w:val="center"/>
          </w:tcPr>
          <w:p w14:paraId="3B4E7529">
            <w:pPr>
              <w:keepNext w:val="0"/>
              <w:keepLines w:val="0"/>
              <w:widowControl/>
              <w:suppressLineNumbers w:val="0"/>
              <w:spacing w:line="167" w:lineRule="atLeast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0.493</w:t>
            </w:r>
          </w:p>
        </w:tc>
      </w:tr>
      <w:tr w14:paraId="7C2B1A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75" w:hRule="atLeast"/>
        </w:trPr>
        <w:tc>
          <w:tcPr>
            <w:tcW w:w="1250" w:type="dxa"/>
            <w:shd w:val="clear" w:color="auto" w:fill="FFFFFF"/>
            <w:tcMar>
              <w:top w:w="67" w:type="dxa"/>
              <w:left w:w="0" w:type="dxa"/>
              <w:bottom w:w="67" w:type="dxa"/>
              <w:right w:w="107" w:type="dxa"/>
            </w:tcMar>
            <w:vAlign w:val="center"/>
          </w:tcPr>
          <w:p w14:paraId="63ACE295">
            <w:pPr>
              <w:keepNext w:val="0"/>
              <w:keepLines w:val="0"/>
              <w:widowControl/>
              <w:suppressLineNumbers w:val="0"/>
              <w:spacing w:line="167" w:lineRule="atLeast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CKAP2 (deCODE)</w:t>
            </w:r>
          </w:p>
        </w:tc>
        <w:tc>
          <w:tcPr>
            <w:tcW w:w="1127" w:type="dxa"/>
            <w:shd w:val="clear" w:color="auto" w:fill="FFFFFF"/>
            <w:tcMar>
              <w:top w:w="67" w:type="dxa"/>
              <w:left w:w="107" w:type="dxa"/>
              <w:bottom w:w="67" w:type="dxa"/>
              <w:right w:w="107" w:type="dxa"/>
            </w:tcMar>
            <w:vAlign w:val="center"/>
          </w:tcPr>
          <w:p w14:paraId="581DF608">
            <w:pPr>
              <w:keepNext w:val="0"/>
              <w:keepLines w:val="0"/>
              <w:widowControl/>
              <w:suppressLineNumbers w:val="0"/>
              <w:spacing w:line="167" w:lineRule="atLeast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LUSC</w:t>
            </w:r>
          </w:p>
        </w:tc>
        <w:tc>
          <w:tcPr>
            <w:tcW w:w="1683" w:type="dxa"/>
            <w:shd w:val="clear" w:color="auto" w:fill="FFFFFF"/>
            <w:tcMar>
              <w:top w:w="67" w:type="dxa"/>
              <w:left w:w="107" w:type="dxa"/>
              <w:bottom w:w="67" w:type="dxa"/>
              <w:right w:w="107" w:type="dxa"/>
            </w:tcMar>
            <w:vAlign w:val="center"/>
          </w:tcPr>
          <w:p w14:paraId="3F0C7C76">
            <w:pPr>
              <w:keepNext w:val="0"/>
              <w:keepLines w:val="0"/>
              <w:widowControl/>
              <w:suppressLineNumbers w:val="0"/>
              <w:spacing w:line="167" w:lineRule="atLeast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highlight w:val="none"/>
                <w:lang w:val="en-US" w:eastAsia="zh-CN" w:bidi="ar"/>
              </w:rPr>
              <w:t>MR Egger</w:t>
            </w:r>
          </w:p>
        </w:tc>
        <w:tc>
          <w:tcPr>
            <w:tcW w:w="770" w:type="dxa"/>
            <w:shd w:val="clear" w:color="auto" w:fill="FFFFFF"/>
            <w:tcMar>
              <w:top w:w="67" w:type="dxa"/>
              <w:left w:w="107" w:type="dxa"/>
              <w:bottom w:w="67" w:type="dxa"/>
              <w:right w:w="107" w:type="dxa"/>
            </w:tcMar>
            <w:vAlign w:val="center"/>
          </w:tcPr>
          <w:p w14:paraId="1D50D43C">
            <w:pPr>
              <w:keepNext w:val="0"/>
              <w:keepLines w:val="0"/>
              <w:widowControl/>
              <w:suppressLineNumbers w:val="0"/>
              <w:spacing w:line="167" w:lineRule="atLeast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14</w:t>
            </w:r>
          </w:p>
        </w:tc>
        <w:tc>
          <w:tcPr>
            <w:tcW w:w="1063" w:type="dxa"/>
            <w:shd w:val="clear" w:color="auto" w:fill="FFFFFF"/>
            <w:tcMar>
              <w:top w:w="67" w:type="dxa"/>
              <w:left w:w="107" w:type="dxa"/>
              <w:bottom w:w="67" w:type="dxa"/>
              <w:right w:w="107" w:type="dxa"/>
            </w:tcMar>
            <w:vAlign w:val="center"/>
          </w:tcPr>
          <w:p w14:paraId="10F1E865">
            <w:pPr>
              <w:keepNext w:val="0"/>
              <w:keepLines w:val="0"/>
              <w:widowControl/>
              <w:suppressLineNumbers w:val="0"/>
              <w:spacing w:line="167" w:lineRule="atLeast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0.988</w:t>
            </w:r>
          </w:p>
        </w:tc>
        <w:tc>
          <w:tcPr>
            <w:tcW w:w="1353" w:type="dxa"/>
            <w:shd w:val="clear" w:color="auto" w:fill="FFFFFF"/>
            <w:tcMar>
              <w:top w:w="67" w:type="dxa"/>
              <w:left w:w="107" w:type="dxa"/>
              <w:bottom w:w="67" w:type="dxa"/>
              <w:right w:w="107" w:type="dxa"/>
            </w:tcMar>
            <w:vAlign w:val="center"/>
          </w:tcPr>
          <w:p w14:paraId="7D420130">
            <w:pPr>
              <w:keepNext w:val="0"/>
              <w:keepLines w:val="0"/>
              <w:widowControl/>
              <w:suppressLineNumbers w:val="0"/>
              <w:spacing w:line="167" w:lineRule="atLeast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0.357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2.733</w:t>
            </w:r>
          </w:p>
        </w:tc>
        <w:tc>
          <w:tcPr>
            <w:tcW w:w="1167" w:type="dxa"/>
            <w:shd w:val="clear" w:color="auto" w:fill="FFFFFF"/>
            <w:tcMar>
              <w:top w:w="67" w:type="dxa"/>
              <w:left w:w="107" w:type="dxa"/>
              <w:bottom w:w="67" w:type="dxa"/>
              <w:right w:w="0" w:type="dxa"/>
            </w:tcMar>
            <w:vAlign w:val="center"/>
          </w:tcPr>
          <w:p w14:paraId="083904FF">
            <w:pPr>
              <w:keepNext w:val="0"/>
              <w:keepLines w:val="0"/>
              <w:widowControl/>
              <w:suppressLineNumbers w:val="0"/>
              <w:spacing w:line="167" w:lineRule="atLeast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0.982</w:t>
            </w:r>
          </w:p>
        </w:tc>
      </w:tr>
      <w:tr w14:paraId="311DD3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54" w:hRule="atLeast"/>
        </w:trPr>
        <w:tc>
          <w:tcPr>
            <w:tcW w:w="1250" w:type="dxa"/>
            <w:shd w:val="clear" w:color="auto" w:fill="FFFFFF"/>
            <w:tcMar>
              <w:top w:w="67" w:type="dxa"/>
              <w:left w:w="0" w:type="dxa"/>
              <w:bottom w:w="67" w:type="dxa"/>
              <w:right w:w="107" w:type="dxa"/>
            </w:tcMar>
            <w:vAlign w:val="center"/>
          </w:tcPr>
          <w:p w14:paraId="2E4D2C35">
            <w:pPr>
              <w:keepNext w:val="0"/>
              <w:keepLines w:val="0"/>
              <w:widowControl/>
              <w:suppressLineNumbers w:val="0"/>
              <w:spacing w:line="167" w:lineRule="atLeast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CKAP2 (deCODE)</w:t>
            </w:r>
          </w:p>
        </w:tc>
        <w:tc>
          <w:tcPr>
            <w:tcW w:w="1127" w:type="dxa"/>
            <w:shd w:val="clear" w:color="auto" w:fill="FFFFFF"/>
            <w:tcMar>
              <w:top w:w="67" w:type="dxa"/>
              <w:left w:w="107" w:type="dxa"/>
              <w:bottom w:w="67" w:type="dxa"/>
              <w:right w:w="107" w:type="dxa"/>
            </w:tcMar>
            <w:vAlign w:val="center"/>
          </w:tcPr>
          <w:p w14:paraId="76E0F14B">
            <w:pPr>
              <w:keepNext w:val="0"/>
              <w:keepLines w:val="0"/>
              <w:widowControl/>
              <w:suppressLineNumbers w:val="0"/>
              <w:spacing w:line="167" w:lineRule="atLeast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LUSC</w:t>
            </w:r>
          </w:p>
        </w:tc>
        <w:tc>
          <w:tcPr>
            <w:tcW w:w="1683" w:type="dxa"/>
            <w:shd w:val="clear" w:color="auto" w:fill="FFFFFF"/>
            <w:tcMar>
              <w:top w:w="67" w:type="dxa"/>
              <w:left w:w="107" w:type="dxa"/>
              <w:bottom w:w="67" w:type="dxa"/>
              <w:right w:w="107" w:type="dxa"/>
            </w:tcMar>
            <w:vAlign w:val="center"/>
          </w:tcPr>
          <w:p w14:paraId="6DD397B2">
            <w:pPr>
              <w:keepNext w:val="0"/>
              <w:keepLines w:val="0"/>
              <w:widowControl/>
              <w:suppressLineNumbers w:val="0"/>
              <w:spacing w:line="167" w:lineRule="atLeast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Weighted median</w:t>
            </w:r>
          </w:p>
        </w:tc>
        <w:tc>
          <w:tcPr>
            <w:tcW w:w="770" w:type="dxa"/>
            <w:shd w:val="clear" w:color="auto" w:fill="FFFFFF"/>
            <w:tcMar>
              <w:top w:w="67" w:type="dxa"/>
              <w:left w:w="107" w:type="dxa"/>
              <w:bottom w:w="67" w:type="dxa"/>
              <w:right w:w="107" w:type="dxa"/>
            </w:tcMar>
            <w:vAlign w:val="center"/>
          </w:tcPr>
          <w:p w14:paraId="366C6917">
            <w:pPr>
              <w:keepNext w:val="0"/>
              <w:keepLines w:val="0"/>
              <w:widowControl/>
              <w:suppressLineNumbers w:val="0"/>
              <w:spacing w:line="167" w:lineRule="atLeast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14</w:t>
            </w:r>
          </w:p>
        </w:tc>
        <w:tc>
          <w:tcPr>
            <w:tcW w:w="1063" w:type="dxa"/>
            <w:shd w:val="clear" w:color="auto" w:fill="FFFFFF"/>
            <w:tcMar>
              <w:top w:w="67" w:type="dxa"/>
              <w:left w:w="107" w:type="dxa"/>
              <w:bottom w:w="67" w:type="dxa"/>
              <w:right w:w="107" w:type="dxa"/>
            </w:tcMar>
            <w:vAlign w:val="center"/>
          </w:tcPr>
          <w:p w14:paraId="145A4C4B">
            <w:pPr>
              <w:keepNext w:val="0"/>
              <w:keepLines w:val="0"/>
              <w:widowControl/>
              <w:suppressLineNumbers w:val="0"/>
              <w:spacing w:line="167" w:lineRule="atLeast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1.017</w:t>
            </w:r>
          </w:p>
        </w:tc>
        <w:tc>
          <w:tcPr>
            <w:tcW w:w="1353" w:type="dxa"/>
            <w:shd w:val="clear" w:color="auto" w:fill="FFFFFF"/>
            <w:tcMar>
              <w:top w:w="67" w:type="dxa"/>
              <w:left w:w="107" w:type="dxa"/>
              <w:bottom w:w="67" w:type="dxa"/>
              <w:right w:w="107" w:type="dxa"/>
            </w:tcMar>
            <w:vAlign w:val="center"/>
          </w:tcPr>
          <w:p w14:paraId="451E2B71">
            <w:pPr>
              <w:keepNext w:val="0"/>
              <w:keepLines w:val="0"/>
              <w:widowControl/>
              <w:suppressLineNumbers w:val="0"/>
              <w:spacing w:line="167" w:lineRule="atLeast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0.667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1.549</w:t>
            </w:r>
          </w:p>
        </w:tc>
        <w:tc>
          <w:tcPr>
            <w:tcW w:w="1167" w:type="dxa"/>
            <w:shd w:val="clear" w:color="auto" w:fill="FFFFFF"/>
            <w:tcMar>
              <w:top w:w="67" w:type="dxa"/>
              <w:left w:w="107" w:type="dxa"/>
              <w:bottom w:w="67" w:type="dxa"/>
              <w:right w:w="0" w:type="dxa"/>
            </w:tcMar>
            <w:vAlign w:val="center"/>
          </w:tcPr>
          <w:p w14:paraId="5086505B">
            <w:pPr>
              <w:keepNext w:val="0"/>
              <w:keepLines w:val="0"/>
              <w:widowControl/>
              <w:suppressLineNumbers w:val="0"/>
              <w:spacing w:line="167" w:lineRule="atLeast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0.939</w:t>
            </w:r>
          </w:p>
        </w:tc>
      </w:tr>
    </w:tbl>
    <w:p w14:paraId="748A1456">
      <w:pPr>
        <w:jc w:val="center"/>
        <w:rPr>
          <w:rFonts w:hint="eastAsia" w:ascii="Times New Roman" w:hAnsi="Times New Roman" w:eastAsia="宋体" w:cs="Times New Roman"/>
          <w:b/>
          <w:bCs/>
          <w:caps w:val="0"/>
          <w:color w:val="0F1115"/>
          <w:spacing w:val="0"/>
          <w:sz w:val="24"/>
          <w:szCs w:val="24"/>
          <w:highlight w:val="green"/>
          <w:shd w:val="clear" w:fill="FFFFFF"/>
          <w:lang w:val="en-US" w:eastAsia="zh-CN"/>
        </w:rPr>
      </w:pPr>
      <w:r>
        <w:rPr>
          <w:rFonts w:hint="default" w:ascii="Times New Roman" w:hAnsi="Times New Roman" w:eastAsia="Segoe UI" w:cs="Times New Roman"/>
          <w:b/>
          <w:bCs/>
          <w:caps w:val="0"/>
          <w:color w:val="0F1115"/>
          <w:spacing w:val="0"/>
          <w:sz w:val="24"/>
          <w:szCs w:val="24"/>
          <w:highlight w:val="green"/>
          <w:shd w:val="clear" w:fill="FFFFFF"/>
        </w:rPr>
        <w:t>Supplementary Table S</w:t>
      </w:r>
      <w:r>
        <w:rPr>
          <w:rFonts w:hint="eastAsia" w:ascii="Times New Roman" w:hAnsi="Times New Roman" w:eastAsia="宋体" w:cs="Times New Roman"/>
          <w:b/>
          <w:bCs/>
          <w:caps w:val="0"/>
          <w:color w:val="0F1115"/>
          <w:spacing w:val="0"/>
          <w:sz w:val="24"/>
          <w:szCs w:val="24"/>
          <w:highlight w:val="green"/>
          <w:shd w:val="clear" w:fill="FFFFFF"/>
          <w:lang w:val="en-US" w:eastAsia="zh-CN"/>
        </w:rPr>
        <w:t>3 Replication of the forward MR analysis for CKAP2 on LUSC risk using the deCODE pQTL dataset</w:t>
      </w:r>
    </w:p>
    <w:p w14:paraId="75F93DF5">
      <w:pPr>
        <w:spacing w:line="480" w:lineRule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highlight w:val="green"/>
        </w:rPr>
        <w:t>Notes:</w:t>
      </w:r>
      <w:r>
        <w:rPr>
          <w:rFonts w:hint="eastAsia" w:ascii="Times New Roman" w:hAnsi="Times New Roman" w:cs="Times New Roman"/>
          <w:b/>
          <w:bCs/>
          <w:sz w:val="24"/>
          <w:szCs w:val="24"/>
          <w:highlight w:val="green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b w:val="0"/>
          <w:bCs w:val="0"/>
          <w:caps w:val="0"/>
          <w:color w:val="0F1115"/>
          <w:spacing w:val="0"/>
          <w:sz w:val="24"/>
          <w:szCs w:val="24"/>
          <w:highlight w:val="green"/>
          <w:shd w:val="clear" w:fill="FFFFFF"/>
          <w:lang w:val="en-US" w:eastAsia="zh-CN"/>
        </w:rPr>
        <w:t xml:space="preserve">deCODE pQTL data from Ferkingstad et al. (Nat Genet, 2021) [19]; LUSC outcome data from FinnGen R10 [18]. </w:t>
      </w:r>
      <w:bookmarkStart w:id="0" w:name="_GoBack"/>
      <w:r>
        <w:rPr>
          <w:rFonts w:hint="eastAsia" w:ascii="Times New Roman" w:hAnsi="Times New Roman" w:eastAsia="宋体" w:cs="Times New Roman"/>
          <w:b w:val="0"/>
          <w:bCs w:val="0"/>
          <w:caps w:val="0"/>
          <w:color w:val="0F1115"/>
          <w:spacing w:val="0"/>
          <w:sz w:val="24"/>
          <w:szCs w:val="24"/>
          <w:highlight w:val="green"/>
          <w:shd w:val="clear" w:fill="FFFFFF"/>
          <w:lang w:val="en-US" w:eastAsia="zh-CN"/>
        </w:rPr>
        <w:t xml:space="preserve">MR, Mendelian randomization;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green"/>
          <w:lang w:val="en-US" w:eastAsia="zh-CN"/>
        </w:rPr>
        <w:t>C</w:t>
      </w:r>
      <w:r>
        <w:rPr>
          <w:rFonts w:hint="default" w:ascii="Times New Roman" w:hAnsi="Times New Roman" w:cs="Times New Roman"/>
          <w:sz w:val="24"/>
          <w:szCs w:val="24"/>
          <w:highlight w:val="green"/>
          <w:lang w:val="en-US" w:eastAsia="zh-CN"/>
        </w:rPr>
        <w:t>KAP2, cytoskeleton-associated protein 2; LUSC, lung squamous cell carcinoma</w:t>
      </w:r>
      <w:r>
        <w:rPr>
          <w:rFonts w:hint="eastAsia" w:ascii="Times New Roman" w:hAnsi="Times New Roman" w:cs="Times New Roman"/>
          <w:sz w:val="24"/>
          <w:szCs w:val="24"/>
          <w:highlight w:val="green"/>
          <w:lang w:val="en-US" w:eastAsia="zh-CN"/>
        </w:rPr>
        <w:t xml:space="preserve">; 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color w:val="0F1115"/>
          <w:spacing w:val="0"/>
          <w:kern w:val="0"/>
          <w:sz w:val="24"/>
          <w:szCs w:val="24"/>
          <w:highlight w:val="green"/>
          <w:lang w:val="en-US" w:eastAsia="zh-CN" w:bidi="ar"/>
        </w:rPr>
        <w:t>nSNP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0F1115"/>
          <w:spacing w:val="0"/>
          <w:kern w:val="0"/>
          <w:sz w:val="24"/>
          <w:szCs w:val="24"/>
          <w:highlight w:val="green"/>
          <w:lang w:val="en-US" w:eastAsia="zh-CN" w:bidi="ar"/>
        </w:rPr>
        <w:t>, n</w:t>
      </w:r>
      <w:r>
        <w:rPr>
          <w:rFonts w:hint="default" w:ascii="Times New Roman" w:hAnsi="Times New Roman" w:cs="Times New Roman"/>
          <w:sz w:val="24"/>
          <w:szCs w:val="24"/>
          <w:highlight w:val="green"/>
          <w:lang w:val="en-US" w:eastAsia="zh-CN"/>
        </w:rPr>
        <w:t xml:space="preserve">umber of </w:t>
      </w:r>
      <w:r>
        <w:rPr>
          <w:rFonts w:hint="eastAsia" w:ascii="Times New Roman" w:hAnsi="Times New Roman" w:cs="Times New Roman"/>
          <w:sz w:val="24"/>
          <w:szCs w:val="24"/>
          <w:highlight w:val="green"/>
          <w:lang w:val="en-US" w:eastAsia="zh-CN"/>
        </w:rPr>
        <w:t>s</w:t>
      </w:r>
      <w:r>
        <w:rPr>
          <w:rFonts w:hint="default" w:ascii="Times New Roman" w:hAnsi="Times New Roman" w:cs="Times New Roman"/>
          <w:sz w:val="24"/>
          <w:szCs w:val="24"/>
          <w:highlight w:val="green"/>
          <w:lang w:val="en-US" w:eastAsia="zh-CN"/>
        </w:rPr>
        <w:t xml:space="preserve">ingle </w:t>
      </w:r>
      <w:r>
        <w:rPr>
          <w:rFonts w:hint="eastAsia" w:ascii="Times New Roman" w:hAnsi="Times New Roman" w:cs="Times New Roman"/>
          <w:sz w:val="24"/>
          <w:szCs w:val="24"/>
          <w:highlight w:val="green"/>
          <w:lang w:val="en-US" w:eastAsia="zh-CN"/>
        </w:rPr>
        <w:t>n</w:t>
      </w:r>
      <w:r>
        <w:rPr>
          <w:rFonts w:hint="default" w:ascii="Times New Roman" w:hAnsi="Times New Roman" w:cs="Times New Roman"/>
          <w:sz w:val="24"/>
          <w:szCs w:val="24"/>
          <w:highlight w:val="green"/>
          <w:lang w:val="en-US" w:eastAsia="zh-CN"/>
        </w:rPr>
        <w:t xml:space="preserve">ucleotide </w:t>
      </w:r>
      <w:r>
        <w:rPr>
          <w:rFonts w:hint="eastAsia" w:ascii="Times New Roman" w:hAnsi="Times New Roman" w:cs="Times New Roman"/>
          <w:sz w:val="24"/>
          <w:szCs w:val="24"/>
          <w:highlight w:val="green"/>
          <w:lang w:val="en-US" w:eastAsia="zh-CN"/>
        </w:rPr>
        <w:t>p</w:t>
      </w:r>
      <w:r>
        <w:rPr>
          <w:rFonts w:hint="default" w:ascii="Times New Roman" w:hAnsi="Times New Roman" w:cs="Times New Roman"/>
          <w:sz w:val="24"/>
          <w:szCs w:val="24"/>
          <w:highlight w:val="green"/>
          <w:lang w:val="en-US" w:eastAsia="zh-CN"/>
        </w:rPr>
        <w:t>olymorphisms</w:t>
      </w:r>
      <w:r>
        <w:rPr>
          <w:rFonts w:hint="eastAsia" w:ascii="Times New Roman" w:hAnsi="Times New Roman" w:cs="Times New Roman"/>
          <w:sz w:val="24"/>
          <w:szCs w:val="24"/>
          <w:highlight w:val="green"/>
          <w:lang w:val="en-US" w:eastAsia="zh-CN"/>
        </w:rPr>
        <w:t>.</w:t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  <w:embedRegular r:id="rId1" w:fontKey="{481FB435-70D5-4712-8E12-B653922293F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381D6B"/>
    <w:rsid w:val="003108CA"/>
    <w:rsid w:val="036D1000"/>
    <w:rsid w:val="04831D75"/>
    <w:rsid w:val="050E3F58"/>
    <w:rsid w:val="07343B25"/>
    <w:rsid w:val="0C156215"/>
    <w:rsid w:val="0D8B6C53"/>
    <w:rsid w:val="0E265AE1"/>
    <w:rsid w:val="1B381D6B"/>
    <w:rsid w:val="1CEB06F0"/>
    <w:rsid w:val="2AAF7AB8"/>
    <w:rsid w:val="361C403D"/>
    <w:rsid w:val="3CD94A35"/>
    <w:rsid w:val="3DE05FE2"/>
    <w:rsid w:val="45CA13BF"/>
    <w:rsid w:val="4B306168"/>
    <w:rsid w:val="524B7814"/>
    <w:rsid w:val="553920BD"/>
    <w:rsid w:val="59656C38"/>
    <w:rsid w:val="5C9F6D95"/>
    <w:rsid w:val="5CEA73A6"/>
    <w:rsid w:val="628B6CA0"/>
    <w:rsid w:val="68981D84"/>
    <w:rsid w:val="69790883"/>
    <w:rsid w:val="6AAF0A00"/>
    <w:rsid w:val="71BB5EDC"/>
    <w:rsid w:val="749B0CFF"/>
    <w:rsid w:val="7AF66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Emphasis"/>
    <w:basedOn w:val="6"/>
    <w:qFormat/>
    <w:uiPriority w:val="0"/>
    <w:rPr>
      <w:i/>
    </w:rPr>
  </w:style>
  <w:style w:type="paragraph" w:customStyle="1" w:styleId="9">
    <w:name w:val="样式1"/>
    <w:basedOn w:val="1"/>
    <w:qFormat/>
    <w:uiPriority w:val="0"/>
    <w:pPr>
      <w:widowControl/>
      <w:autoSpaceDE w:val="0"/>
      <w:autoSpaceDN w:val="0"/>
      <w:adjustRightInd w:val="0"/>
      <w:snapToGrid w:val="0"/>
      <w:spacing w:line="360" w:lineRule="auto"/>
      <w:outlineLvl w:val="9"/>
    </w:pPr>
    <w:rPr>
      <w:rFonts w:hint="default" w:ascii="Times New Roman" w:hAnsi="Times New Roman" w:eastAsia="宋体" w:cs="宋体"/>
      <w:b/>
      <w:bCs/>
      <w:kern w:val="0"/>
      <w:sz w:val="28"/>
      <w:szCs w:val="28"/>
      <w:lang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340</Words>
  <Characters>1927</Characters>
  <Lines>0</Lines>
  <Paragraphs>0</Paragraphs>
  <TotalTime>4</TotalTime>
  <ScaleCrop>false</ScaleCrop>
  <LinksUpToDate>false</LinksUpToDate>
  <CharactersWithSpaces>2090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2025-08-28T22:37:00Z</dcterms:created>
  <dc:creator>国栋</dc:creator>
  <cp:lastModifiedBy>国栋</cp:lastModifiedBy>
  <dcterms:modified xsi:type="dcterms:W3CDTF">2026-06-25T11:08:34Z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C51C8F2123AB457595593083CF290D38_13</vt:lpwstr>
  </property>
  <property fmtid="{D5CDD505-2E9C-101B-9397-08002B2CF9AE}" pid="4" name="KSOTemplateDocerSaveRecord">
    <vt:lpwstr>eyJoZGlkIjoiNTEyY2M0YWNlNTZmMDdjMTEzZTQwNzJlNTRhZWRkY2YiLCJ1c2VySWQiOiIyMDQyOTU5NzAifQ==</vt:lpwstr>
  </property>
</Properties>
</file>