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65D" w:rsidRDefault="005B3E3B">
      <w:pPr>
        <w:spacing w:after="80"/>
        <w:jc w:val="center"/>
      </w:pPr>
      <w:bookmarkStart w:id="0" w:name="_GoBack"/>
      <w:bookmarkEnd w:id="0"/>
      <w:r>
        <w:rPr>
          <w:rFonts w:ascii="Times New Roman" w:hAnsi="Times New Roman"/>
          <w:b/>
          <w:sz w:val="28"/>
        </w:rPr>
        <w:t>SUPPLEMENTARY MATERIAL</w:t>
      </w:r>
    </w:p>
    <w:p w:rsidR="0088465D" w:rsidRDefault="005B3E3B">
      <w:pPr>
        <w:spacing w:after="320"/>
        <w:jc w:val="center"/>
      </w:pPr>
      <w:r>
        <w:rPr>
          <w:rFonts w:ascii="Times New Roman" w:hAnsi="Times New Roman"/>
          <w:b/>
          <w:sz w:val="24"/>
        </w:rPr>
        <w:t>Robotic-Assisted versus Conventional Coronary Artery Bypass Grafting: A Systematic Review and Meta-Analysis</w:t>
      </w:r>
    </w:p>
    <w:p w:rsidR="0088465D" w:rsidRDefault="005B3E3B">
      <w:pPr>
        <w:spacing w:before="240" w:after="80"/>
      </w:pPr>
      <w:r>
        <w:rPr>
          <w:rFonts w:ascii="Times New Roman" w:hAnsi="Times New Roman"/>
          <w:b/>
          <w:sz w:val="28"/>
        </w:rPr>
        <w:t>Supplementary Table S1. Comprehensive Search Strategy</w:t>
      </w:r>
    </w:p>
    <w:p w:rsidR="0088465D" w:rsidRDefault="005B3E3B">
      <w:pPr>
        <w:spacing w:after="120"/>
      </w:pPr>
      <w:r>
        <w:rPr>
          <w:rFonts w:ascii="Times New Roman" w:hAnsi="Times New Roman"/>
          <w:b/>
        </w:rPr>
        <w:t xml:space="preserve">PubMed/MEDLINE: </w:t>
      </w:r>
      <w:r>
        <w:rPr>
          <w:rFonts w:ascii="Times New Roman" w:hAnsi="Times New Roman"/>
          <w:i/>
          <w:sz w:val="20"/>
        </w:rPr>
        <w:t xml:space="preserve">((robotic[tiab] OR "robot-assisted"[tiab] OR "da </w:t>
      </w:r>
      <w:r>
        <w:rPr>
          <w:rFonts w:ascii="Times New Roman" w:hAnsi="Times New Roman"/>
          <w:i/>
          <w:sz w:val="20"/>
        </w:rPr>
        <w:t>Vinci"[tiab] OR TECAB[tiab] OR RMIDCAB[tiab] OR telemanipulation[tiab]) AND ("coronary artery bypass"[tiab] OR CABG[tiab] OR "coronary revascularization"[tiab])) AND (comparative[tiab] OR matched[tiab] OR cohort[tiab] OR retrospective[tiab] OR prospective[</w:t>
      </w:r>
      <w:r>
        <w:rPr>
          <w:rFonts w:ascii="Times New Roman" w:hAnsi="Times New Roman"/>
          <w:i/>
          <w:sz w:val="20"/>
        </w:rPr>
        <w:t>tiab])</w:t>
      </w:r>
    </w:p>
    <w:p w:rsidR="0088465D" w:rsidRDefault="005B3E3B">
      <w:pPr>
        <w:spacing w:after="120"/>
      </w:pPr>
      <w:r>
        <w:rPr>
          <w:rFonts w:ascii="Times New Roman" w:hAnsi="Times New Roman"/>
          <w:b/>
        </w:rPr>
        <w:t xml:space="preserve">Embase: </w:t>
      </w:r>
      <w:r>
        <w:rPr>
          <w:rFonts w:ascii="Times New Roman" w:hAnsi="Times New Roman"/>
          <w:i/>
          <w:sz w:val="20"/>
        </w:rPr>
        <w:t>(robotic OR robot-assisted OR da:Vinci OR TECAB OR RMIDCAB) AND (coronary:artery:bypass:graft* OR CABG) AND (comparative OR matched OR cohort)</w:t>
      </w:r>
    </w:p>
    <w:p w:rsidR="0088465D" w:rsidRDefault="005B3E3B">
      <w:pPr>
        <w:spacing w:after="120"/>
      </w:pPr>
      <w:r>
        <w:rPr>
          <w:rFonts w:ascii="Times New Roman" w:hAnsi="Times New Roman"/>
          <w:b/>
        </w:rPr>
        <w:t xml:space="preserve">Cochrane CENTRAL: </w:t>
      </w:r>
      <w:r>
        <w:rPr>
          <w:rFonts w:ascii="Times New Roman" w:hAnsi="Times New Roman"/>
          <w:i/>
          <w:sz w:val="20"/>
        </w:rPr>
        <w:t>(robotic OR robot-assisted) AND (coronary artery bypass OR CABG)</w:t>
      </w:r>
    </w:p>
    <w:p w:rsidR="0088465D" w:rsidRDefault="005B3E3B">
      <w:pPr>
        <w:spacing w:after="120"/>
      </w:pPr>
      <w:r>
        <w:rPr>
          <w:rFonts w:ascii="Times New Roman" w:hAnsi="Times New Roman"/>
          <w:b/>
        </w:rPr>
        <w:t>Web of Science: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i/>
          <w:sz w:val="20"/>
        </w:rPr>
        <w:t>TS=(robotic CABG OR robotic coronary artery bypass OR TECAB OR RMIDCAB)</w:t>
      </w:r>
    </w:p>
    <w:p w:rsidR="0088465D" w:rsidRDefault="005B3E3B">
      <w:pPr>
        <w:spacing w:after="120"/>
      </w:pPr>
      <w:r>
        <w:rPr>
          <w:rFonts w:ascii="Times New Roman" w:hAnsi="Times New Roman"/>
          <w:sz w:val="20"/>
        </w:rPr>
        <w:t>Search date: January 31, 2026. Language: No restriction. Date limits: None.</w:t>
      </w:r>
    </w:p>
    <w:p w:rsidR="0088465D" w:rsidRDefault="005B3E3B">
      <w:r>
        <w:rPr>
          <w:noProof/>
        </w:rPr>
        <w:drawing>
          <wp:inline distT="0" distB="0" distL="0" distR="0" wp14:anchorId="222E4596" wp14:editId="643045DC">
            <wp:extent cx="9601200" cy="1253005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01_PRISMA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601200" cy="12530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465D" w:rsidRDefault="005B3E3B">
      <w:pPr>
        <w:spacing w:before="240" w:after="80"/>
      </w:pPr>
      <w:r>
        <w:rPr>
          <w:rFonts w:ascii="Times New Roman" w:hAnsi="Times New Roman"/>
          <w:b/>
          <w:sz w:val="28"/>
        </w:rPr>
        <w:t>Supplementary Table S2. PRISMA 2020 Checklist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88465D">
        <w:trPr>
          <w:jc w:val="center"/>
        </w:trPr>
        <w:tc>
          <w:tcPr>
            <w:tcW w:w="1728" w:type="dxa"/>
            <w:shd w:val="clear" w:color="auto" w:fill="1F3864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Section/Topic</w:t>
            </w:r>
          </w:p>
        </w:tc>
        <w:tc>
          <w:tcPr>
            <w:tcW w:w="1728" w:type="dxa"/>
            <w:shd w:val="clear" w:color="auto" w:fill="1F3864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Item No.</w:t>
            </w:r>
          </w:p>
        </w:tc>
        <w:tc>
          <w:tcPr>
            <w:tcW w:w="1728" w:type="dxa"/>
            <w:shd w:val="clear" w:color="auto" w:fill="1F3864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Checklist Item</w:t>
            </w:r>
          </w:p>
        </w:tc>
        <w:tc>
          <w:tcPr>
            <w:tcW w:w="1728" w:type="dxa"/>
            <w:shd w:val="clear" w:color="auto" w:fill="1F3864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Location</w:t>
            </w:r>
          </w:p>
        </w:tc>
        <w:tc>
          <w:tcPr>
            <w:tcW w:w="1728" w:type="dxa"/>
            <w:shd w:val="clear" w:color="auto" w:fill="1F3864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✓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/NA</w:t>
            </w:r>
          </w:p>
        </w:tc>
      </w:tr>
      <w:tr w:rsidR="0088465D">
        <w:trPr>
          <w:jc w:val="center"/>
        </w:trPr>
        <w:tc>
          <w:tcPr>
            <w:tcW w:w="1728" w:type="dxa"/>
            <w:shd w:val="clear" w:color="auto" w:fill="FFFFFF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Title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Identify the report as a systematic review.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Title page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8"/>
              </w:rPr>
              <w:t>✓</w:t>
            </w:r>
          </w:p>
        </w:tc>
      </w:tr>
      <w:tr w:rsidR="0088465D">
        <w:trPr>
          <w:jc w:val="center"/>
        </w:trPr>
        <w:tc>
          <w:tcPr>
            <w:tcW w:w="1728" w:type="dxa"/>
            <w:shd w:val="clear" w:color="auto" w:fill="EBF3FB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Abstract</w:t>
            </w:r>
          </w:p>
        </w:tc>
        <w:tc>
          <w:tcPr>
            <w:tcW w:w="172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w="1728" w:type="dxa"/>
            <w:shd w:val="clear" w:color="auto" w:fill="EBF3FB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Structured abstract with background, methods, results, conclusions.</w:t>
            </w:r>
          </w:p>
        </w:tc>
        <w:tc>
          <w:tcPr>
            <w:tcW w:w="1728" w:type="dxa"/>
            <w:shd w:val="clear" w:color="auto" w:fill="EBF3FB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Abstract</w:t>
            </w:r>
          </w:p>
        </w:tc>
        <w:tc>
          <w:tcPr>
            <w:tcW w:w="172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8"/>
              </w:rPr>
              <w:t>✓</w:t>
            </w:r>
          </w:p>
        </w:tc>
      </w:tr>
      <w:tr w:rsidR="0088465D">
        <w:trPr>
          <w:jc w:val="center"/>
        </w:trPr>
        <w:tc>
          <w:tcPr>
            <w:tcW w:w="1728" w:type="dxa"/>
            <w:shd w:val="clear" w:color="auto" w:fill="FFFFFF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Introduction – Rationale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Rationale for the review.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Section 1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8"/>
              </w:rPr>
              <w:t>✓</w:t>
            </w:r>
          </w:p>
        </w:tc>
      </w:tr>
      <w:tr w:rsidR="0088465D">
        <w:trPr>
          <w:jc w:val="center"/>
        </w:trPr>
        <w:tc>
          <w:tcPr>
            <w:tcW w:w="1728" w:type="dxa"/>
            <w:shd w:val="clear" w:color="auto" w:fill="EBF3FB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Introduction – Objectives</w:t>
            </w:r>
          </w:p>
        </w:tc>
        <w:tc>
          <w:tcPr>
            <w:tcW w:w="172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w="1728" w:type="dxa"/>
            <w:shd w:val="clear" w:color="auto" w:fill="EBF3FB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 xml:space="preserve">Explicit </w:t>
            </w:r>
            <w:r>
              <w:rPr>
                <w:rFonts w:ascii="Times New Roman" w:hAnsi="Times New Roman"/>
                <w:sz w:val="18"/>
              </w:rPr>
              <w:t>objectives and PICO.</w:t>
            </w:r>
          </w:p>
        </w:tc>
        <w:tc>
          <w:tcPr>
            <w:tcW w:w="1728" w:type="dxa"/>
            <w:shd w:val="clear" w:color="auto" w:fill="EBF3FB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Section 1</w:t>
            </w:r>
          </w:p>
        </w:tc>
        <w:tc>
          <w:tcPr>
            <w:tcW w:w="172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8"/>
              </w:rPr>
              <w:t>✓</w:t>
            </w:r>
          </w:p>
        </w:tc>
      </w:tr>
      <w:tr w:rsidR="0088465D">
        <w:trPr>
          <w:jc w:val="center"/>
        </w:trPr>
        <w:tc>
          <w:tcPr>
            <w:tcW w:w="1728" w:type="dxa"/>
            <w:shd w:val="clear" w:color="auto" w:fill="FFFFFF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Methods – Eligibility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Eligibility criteria specified.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Section 2.3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8"/>
              </w:rPr>
              <w:t>✓</w:t>
            </w:r>
          </w:p>
        </w:tc>
      </w:tr>
      <w:tr w:rsidR="0088465D">
        <w:trPr>
          <w:jc w:val="center"/>
        </w:trPr>
        <w:tc>
          <w:tcPr>
            <w:tcW w:w="1728" w:type="dxa"/>
            <w:shd w:val="clear" w:color="auto" w:fill="EBF3FB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Methods – Sources</w:t>
            </w:r>
          </w:p>
        </w:tc>
        <w:tc>
          <w:tcPr>
            <w:tcW w:w="172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w="1728" w:type="dxa"/>
            <w:shd w:val="clear" w:color="auto" w:fill="EBF3FB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Information sources and search dates.</w:t>
            </w:r>
          </w:p>
        </w:tc>
        <w:tc>
          <w:tcPr>
            <w:tcW w:w="1728" w:type="dxa"/>
            <w:shd w:val="clear" w:color="auto" w:fill="EBF3FB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Section 2.2</w:t>
            </w:r>
          </w:p>
        </w:tc>
        <w:tc>
          <w:tcPr>
            <w:tcW w:w="172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8"/>
              </w:rPr>
              <w:t>✓</w:t>
            </w:r>
          </w:p>
        </w:tc>
      </w:tr>
      <w:tr w:rsidR="0088465D">
        <w:trPr>
          <w:jc w:val="center"/>
        </w:trPr>
        <w:tc>
          <w:tcPr>
            <w:tcW w:w="1728" w:type="dxa"/>
            <w:shd w:val="clear" w:color="auto" w:fill="FFFFFF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Methods – Search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8"/>
              </w:rPr>
              <w:t>7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Full search strategy for one database.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Supp. Table S1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8"/>
              </w:rPr>
              <w:t>✓</w:t>
            </w:r>
          </w:p>
        </w:tc>
      </w:tr>
      <w:tr w:rsidR="0088465D">
        <w:trPr>
          <w:jc w:val="center"/>
        </w:trPr>
        <w:tc>
          <w:tcPr>
            <w:tcW w:w="1728" w:type="dxa"/>
            <w:shd w:val="clear" w:color="auto" w:fill="EBF3FB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Methods – Selection</w:t>
            </w:r>
          </w:p>
        </w:tc>
        <w:tc>
          <w:tcPr>
            <w:tcW w:w="172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8"/>
              </w:rPr>
              <w:t>8</w:t>
            </w:r>
          </w:p>
        </w:tc>
        <w:tc>
          <w:tcPr>
            <w:tcW w:w="1728" w:type="dxa"/>
            <w:shd w:val="clear" w:color="auto" w:fill="EBF3FB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Selection process.</w:t>
            </w:r>
          </w:p>
        </w:tc>
        <w:tc>
          <w:tcPr>
            <w:tcW w:w="1728" w:type="dxa"/>
            <w:shd w:val="clear" w:color="auto" w:fill="EBF3FB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Section 2.4</w:t>
            </w:r>
          </w:p>
        </w:tc>
        <w:tc>
          <w:tcPr>
            <w:tcW w:w="172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8"/>
              </w:rPr>
              <w:t>✓</w:t>
            </w:r>
          </w:p>
        </w:tc>
      </w:tr>
      <w:tr w:rsidR="0088465D">
        <w:trPr>
          <w:jc w:val="center"/>
        </w:trPr>
        <w:tc>
          <w:tcPr>
            <w:tcW w:w="1728" w:type="dxa"/>
            <w:shd w:val="clear" w:color="auto" w:fill="FFFFFF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Methods – Data collection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8"/>
              </w:rPr>
              <w:t>9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Data collection process.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Section 2.4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8"/>
              </w:rPr>
              <w:t>✓</w:t>
            </w:r>
          </w:p>
        </w:tc>
      </w:tr>
      <w:tr w:rsidR="0088465D">
        <w:trPr>
          <w:jc w:val="center"/>
        </w:trPr>
        <w:tc>
          <w:tcPr>
            <w:tcW w:w="1728" w:type="dxa"/>
            <w:shd w:val="clear" w:color="auto" w:fill="EBF3FB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Methods – Data items</w:t>
            </w:r>
          </w:p>
        </w:tc>
        <w:tc>
          <w:tcPr>
            <w:tcW w:w="172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8"/>
              </w:rPr>
              <w:t>10a</w:t>
            </w:r>
          </w:p>
        </w:tc>
        <w:tc>
          <w:tcPr>
            <w:tcW w:w="1728" w:type="dxa"/>
            <w:shd w:val="clear" w:color="auto" w:fill="EBF3FB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All outcomes sought.</w:t>
            </w:r>
          </w:p>
        </w:tc>
        <w:tc>
          <w:tcPr>
            <w:tcW w:w="1728" w:type="dxa"/>
            <w:shd w:val="clear" w:color="auto" w:fill="EBF3FB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Section 2.5</w:t>
            </w:r>
          </w:p>
        </w:tc>
        <w:tc>
          <w:tcPr>
            <w:tcW w:w="172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8"/>
              </w:rPr>
              <w:t>✓</w:t>
            </w:r>
          </w:p>
        </w:tc>
      </w:tr>
      <w:tr w:rsidR="0088465D">
        <w:trPr>
          <w:jc w:val="center"/>
        </w:trPr>
        <w:tc>
          <w:tcPr>
            <w:tcW w:w="1728" w:type="dxa"/>
            <w:shd w:val="clear" w:color="auto" w:fill="FFFFFF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Methods – Risk of bias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8"/>
              </w:rPr>
              <w:t>11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Risk of bias assessment.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Section 2.6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8"/>
              </w:rPr>
              <w:t>✓</w:t>
            </w:r>
          </w:p>
        </w:tc>
      </w:tr>
      <w:tr w:rsidR="0088465D">
        <w:trPr>
          <w:jc w:val="center"/>
        </w:trPr>
        <w:tc>
          <w:tcPr>
            <w:tcW w:w="1728" w:type="dxa"/>
            <w:shd w:val="clear" w:color="auto" w:fill="EBF3FB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Methods – Statistics</w:t>
            </w:r>
          </w:p>
        </w:tc>
        <w:tc>
          <w:tcPr>
            <w:tcW w:w="172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8"/>
              </w:rPr>
              <w:t>13</w:t>
            </w:r>
          </w:p>
        </w:tc>
        <w:tc>
          <w:tcPr>
            <w:tcW w:w="1728" w:type="dxa"/>
            <w:shd w:val="clear" w:color="auto" w:fill="EBF3FB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Statistical synthesis methods.</w:t>
            </w:r>
          </w:p>
        </w:tc>
        <w:tc>
          <w:tcPr>
            <w:tcW w:w="1728" w:type="dxa"/>
            <w:shd w:val="clear" w:color="auto" w:fill="EBF3FB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Section 2.7</w:t>
            </w:r>
          </w:p>
        </w:tc>
        <w:tc>
          <w:tcPr>
            <w:tcW w:w="172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8"/>
              </w:rPr>
              <w:t>✓</w:t>
            </w:r>
          </w:p>
        </w:tc>
      </w:tr>
      <w:tr w:rsidR="0088465D">
        <w:trPr>
          <w:jc w:val="center"/>
        </w:trPr>
        <w:tc>
          <w:tcPr>
            <w:tcW w:w="1728" w:type="dxa"/>
            <w:shd w:val="clear" w:color="auto" w:fill="FFFFFF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Results – Selection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8"/>
              </w:rPr>
              <w:t>16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Study selection results with PRISMA diagram.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Section 3.1 + Fig S1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8"/>
              </w:rPr>
              <w:t>✓</w:t>
            </w:r>
          </w:p>
        </w:tc>
      </w:tr>
      <w:tr w:rsidR="0088465D">
        <w:trPr>
          <w:jc w:val="center"/>
        </w:trPr>
        <w:tc>
          <w:tcPr>
            <w:tcW w:w="1728" w:type="dxa"/>
            <w:shd w:val="clear" w:color="auto" w:fill="EBF3FB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Results – Study characteristics</w:t>
            </w:r>
          </w:p>
        </w:tc>
        <w:tc>
          <w:tcPr>
            <w:tcW w:w="172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8"/>
              </w:rPr>
              <w:t>17</w:t>
            </w:r>
          </w:p>
        </w:tc>
        <w:tc>
          <w:tcPr>
            <w:tcW w:w="1728" w:type="dxa"/>
            <w:shd w:val="clear" w:color="auto" w:fill="EBF3FB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Characteristics of studies.</w:t>
            </w:r>
          </w:p>
        </w:tc>
        <w:tc>
          <w:tcPr>
            <w:tcW w:w="1728" w:type="dxa"/>
            <w:shd w:val="clear" w:color="auto" w:fill="EBF3FB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Table 1</w:t>
            </w:r>
          </w:p>
        </w:tc>
        <w:tc>
          <w:tcPr>
            <w:tcW w:w="172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8"/>
              </w:rPr>
              <w:t>✓</w:t>
            </w:r>
          </w:p>
        </w:tc>
      </w:tr>
      <w:tr w:rsidR="0088465D">
        <w:trPr>
          <w:jc w:val="center"/>
        </w:trPr>
        <w:tc>
          <w:tcPr>
            <w:tcW w:w="1728" w:type="dxa"/>
            <w:shd w:val="clear" w:color="auto" w:fill="FFFFFF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 xml:space="preserve">Results – Risk of </w:t>
            </w:r>
            <w:r>
              <w:rPr>
                <w:rFonts w:ascii="Times New Roman" w:hAnsi="Times New Roman"/>
                <w:sz w:val="18"/>
              </w:rPr>
              <w:t>bias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8"/>
              </w:rPr>
              <w:t>18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Risk of bias assessments.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Table 3 + Figs S2–S3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8"/>
              </w:rPr>
              <w:t>✓</w:t>
            </w:r>
          </w:p>
        </w:tc>
      </w:tr>
      <w:tr w:rsidR="0088465D">
        <w:trPr>
          <w:jc w:val="center"/>
        </w:trPr>
        <w:tc>
          <w:tcPr>
            <w:tcW w:w="1728" w:type="dxa"/>
            <w:shd w:val="clear" w:color="auto" w:fill="EBF3FB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Results – Synthesis</w:t>
            </w:r>
          </w:p>
        </w:tc>
        <w:tc>
          <w:tcPr>
            <w:tcW w:w="172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8"/>
              </w:rPr>
              <w:t>20a</w:t>
            </w:r>
          </w:p>
        </w:tc>
        <w:tc>
          <w:tcPr>
            <w:tcW w:w="1728" w:type="dxa"/>
            <w:shd w:val="clear" w:color="auto" w:fill="EBF3FB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Pooled results for all outcomes.</w:t>
            </w:r>
          </w:p>
        </w:tc>
        <w:tc>
          <w:tcPr>
            <w:tcW w:w="1728" w:type="dxa"/>
            <w:shd w:val="clear" w:color="auto" w:fill="EBF3FB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Table 2 + Figs 1–4</w:t>
            </w:r>
          </w:p>
        </w:tc>
        <w:tc>
          <w:tcPr>
            <w:tcW w:w="172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8"/>
              </w:rPr>
              <w:t>✓</w:t>
            </w:r>
          </w:p>
        </w:tc>
      </w:tr>
      <w:tr w:rsidR="0088465D">
        <w:trPr>
          <w:jc w:val="center"/>
        </w:trPr>
        <w:tc>
          <w:tcPr>
            <w:tcW w:w="1728" w:type="dxa"/>
            <w:shd w:val="clear" w:color="auto" w:fill="FFFFFF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Discussion – Limitations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8"/>
              </w:rPr>
              <w:t>27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Discussion of limitations.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Section 4.8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8"/>
              </w:rPr>
              <w:t>✓</w:t>
            </w:r>
          </w:p>
        </w:tc>
      </w:tr>
      <w:tr w:rsidR="0088465D">
        <w:trPr>
          <w:jc w:val="center"/>
        </w:trPr>
        <w:tc>
          <w:tcPr>
            <w:tcW w:w="1728" w:type="dxa"/>
            <w:shd w:val="clear" w:color="auto" w:fill="EBF3FB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Discussion – Conclusions</w:t>
            </w:r>
          </w:p>
        </w:tc>
        <w:tc>
          <w:tcPr>
            <w:tcW w:w="172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8"/>
              </w:rPr>
              <w:t>28</w:t>
            </w:r>
          </w:p>
        </w:tc>
        <w:tc>
          <w:tcPr>
            <w:tcW w:w="1728" w:type="dxa"/>
            <w:shd w:val="clear" w:color="auto" w:fill="EBF3FB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 xml:space="preserve">General </w:t>
            </w:r>
            <w:r>
              <w:rPr>
                <w:rFonts w:ascii="Times New Roman" w:hAnsi="Times New Roman"/>
                <w:sz w:val="18"/>
              </w:rPr>
              <w:t>interpretation.</w:t>
            </w:r>
          </w:p>
        </w:tc>
        <w:tc>
          <w:tcPr>
            <w:tcW w:w="1728" w:type="dxa"/>
            <w:shd w:val="clear" w:color="auto" w:fill="EBF3FB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Section 5</w:t>
            </w:r>
          </w:p>
        </w:tc>
        <w:tc>
          <w:tcPr>
            <w:tcW w:w="172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8"/>
              </w:rPr>
              <w:t>✓</w:t>
            </w:r>
          </w:p>
        </w:tc>
      </w:tr>
      <w:tr w:rsidR="0088465D">
        <w:trPr>
          <w:jc w:val="center"/>
        </w:trPr>
        <w:tc>
          <w:tcPr>
            <w:tcW w:w="1728" w:type="dxa"/>
            <w:shd w:val="clear" w:color="auto" w:fill="FFFFFF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Registration – Registration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8"/>
              </w:rPr>
              <w:t>24a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PROSPERO registration.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r>
              <w:rPr>
                <w:rFonts w:ascii="Times New Roman" w:hAnsi="Times New Roman"/>
                <w:sz w:val="18"/>
              </w:rPr>
              <w:t>Section 2.1</w:t>
            </w:r>
          </w:p>
        </w:tc>
        <w:tc>
          <w:tcPr>
            <w:tcW w:w="172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8"/>
              </w:rPr>
              <w:t>✓</w:t>
            </w:r>
          </w:p>
        </w:tc>
      </w:tr>
    </w:tbl>
    <w:p w:rsidR="0088465D" w:rsidRDefault="0088465D"/>
    <w:p w:rsidR="0088465D" w:rsidRDefault="005B3E3B">
      <w:pPr>
        <w:spacing w:before="240" w:after="80"/>
      </w:pPr>
      <w:r>
        <w:rPr>
          <w:rFonts w:ascii="Times New Roman" w:hAnsi="Times New Roman"/>
          <w:b/>
          <w:sz w:val="28"/>
        </w:rPr>
        <w:t>Supplementary Table S3. Verified Event Counts by Outcome</w:t>
      </w:r>
    </w:p>
    <w:p w:rsidR="0088465D" w:rsidRDefault="005B3E3B">
      <w:pPr>
        <w:spacing w:after="120"/>
      </w:pPr>
      <w:r>
        <w:rPr>
          <w:rFonts w:ascii="Times New Roman" w:hAnsi="Times New Roman"/>
          <w:i/>
          <w:sz w:val="20"/>
        </w:rPr>
        <w:t>All values verified line-by-line against source full-texts. NA = outcome not reported in study. † =</w:t>
      </w:r>
      <w:r>
        <w:rPr>
          <w:rFonts w:ascii="Times New Roman" w:hAnsi="Times New Roman"/>
          <w:i/>
          <w:sz w:val="20"/>
        </w:rPr>
        <w:t xml:space="preserve"> Sensitivity analysis only (Drexel 2016, unmatched).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</w:tblGrid>
      <w:tr w:rsidR="0088465D">
        <w:trPr>
          <w:jc w:val="center"/>
        </w:trPr>
        <w:tc>
          <w:tcPr>
            <w:tcW w:w="508" w:type="dxa"/>
            <w:shd w:val="clear" w:color="auto" w:fill="1F3864"/>
          </w:tcPr>
          <w:p w:rsidR="0088465D" w:rsidRDefault="005B3E3B">
            <w:r>
              <w:rPr>
                <w:rFonts w:ascii="Times New Roman" w:hAnsi="Times New Roman"/>
                <w:b/>
                <w:color w:val="FFFFFF"/>
                <w:sz w:val="15"/>
              </w:rPr>
              <w:t>Study</w:t>
            </w:r>
          </w:p>
        </w:tc>
        <w:tc>
          <w:tcPr>
            <w:tcW w:w="508" w:type="dxa"/>
            <w:shd w:val="clear" w:color="auto" w:fill="1F3864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15"/>
              </w:rPr>
              <w:t>Mortality R/N</w:t>
            </w:r>
          </w:p>
        </w:tc>
        <w:tc>
          <w:tcPr>
            <w:tcW w:w="508" w:type="dxa"/>
            <w:shd w:val="clear" w:color="auto" w:fill="1F3864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15"/>
              </w:rPr>
              <w:t>Mortality C/N</w:t>
            </w:r>
          </w:p>
        </w:tc>
        <w:tc>
          <w:tcPr>
            <w:tcW w:w="508" w:type="dxa"/>
            <w:shd w:val="clear" w:color="auto" w:fill="1F3864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15"/>
              </w:rPr>
              <w:t>Stroke R/N</w:t>
            </w:r>
          </w:p>
        </w:tc>
        <w:tc>
          <w:tcPr>
            <w:tcW w:w="508" w:type="dxa"/>
            <w:shd w:val="clear" w:color="auto" w:fill="1F3864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15"/>
              </w:rPr>
              <w:t>Stroke C/N</w:t>
            </w:r>
          </w:p>
        </w:tc>
        <w:tc>
          <w:tcPr>
            <w:tcW w:w="508" w:type="dxa"/>
            <w:shd w:val="clear" w:color="auto" w:fill="1F3864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15"/>
              </w:rPr>
              <w:t>AF R/N</w:t>
            </w:r>
          </w:p>
        </w:tc>
        <w:tc>
          <w:tcPr>
            <w:tcW w:w="508" w:type="dxa"/>
            <w:shd w:val="clear" w:color="auto" w:fill="1F3864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15"/>
              </w:rPr>
              <w:t>AF C/N</w:t>
            </w:r>
          </w:p>
        </w:tc>
        <w:tc>
          <w:tcPr>
            <w:tcW w:w="508" w:type="dxa"/>
            <w:shd w:val="clear" w:color="auto" w:fill="1F3864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15"/>
              </w:rPr>
              <w:t>Renal R/N</w:t>
            </w:r>
          </w:p>
        </w:tc>
        <w:tc>
          <w:tcPr>
            <w:tcW w:w="508" w:type="dxa"/>
            <w:shd w:val="clear" w:color="auto" w:fill="1F3864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15"/>
              </w:rPr>
              <w:t>Renal C/N</w:t>
            </w:r>
          </w:p>
        </w:tc>
        <w:tc>
          <w:tcPr>
            <w:tcW w:w="508" w:type="dxa"/>
            <w:shd w:val="clear" w:color="auto" w:fill="1F3864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15"/>
              </w:rPr>
              <w:t>Resp R/N</w:t>
            </w:r>
          </w:p>
        </w:tc>
        <w:tc>
          <w:tcPr>
            <w:tcW w:w="508" w:type="dxa"/>
            <w:shd w:val="clear" w:color="auto" w:fill="1F3864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15"/>
              </w:rPr>
              <w:t>Resp C/N</w:t>
            </w:r>
          </w:p>
        </w:tc>
        <w:tc>
          <w:tcPr>
            <w:tcW w:w="508" w:type="dxa"/>
            <w:shd w:val="clear" w:color="auto" w:fill="1F3864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15"/>
              </w:rPr>
              <w:t>Reop R/N</w:t>
            </w:r>
          </w:p>
        </w:tc>
        <w:tc>
          <w:tcPr>
            <w:tcW w:w="508" w:type="dxa"/>
            <w:shd w:val="clear" w:color="auto" w:fill="1F3864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15"/>
              </w:rPr>
              <w:t>Reop C/N</w:t>
            </w:r>
          </w:p>
        </w:tc>
        <w:tc>
          <w:tcPr>
            <w:tcW w:w="508" w:type="dxa"/>
            <w:shd w:val="clear" w:color="auto" w:fill="1F3864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15"/>
              </w:rPr>
              <w:t>LOS R (days)</w:t>
            </w:r>
          </w:p>
        </w:tc>
        <w:tc>
          <w:tcPr>
            <w:tcW w:w="508" w:type="dxa"/>
            <w:shd w:val="clear" w:color="auto" w:fill="1F3864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15"/>
              </w:rPr>
              <w:t>LOS C (days)</w:t>
            </w:r>
          </w:p>
        </w:tc>
        <w:tc>
          <w:tcPr>
            <w:tcW w:w="508" w:type="dxa"/>
            <w:shd w:val="clear" w:color="auto" w:fill="1F3864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15"/>
              </w:rPr>
              <w:t>ICU R (hrs)</w:t>
            </w:r>
          </w:p>
        </w:tc>
        <w:tc>
          <w:tcPr>
            <w:tcW w:w="508" w:type="dxa"/>
            <w:shd w:val="clear" w:color="auto" w:fill="1F3864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15"/>
              </w:rPr>
              <w:t>ICU C (hrs)</w:t>
            </w:r>
          </w:p>
        </w:tc>
      </w:tr>
      <w:tr w:rsidR="0088465D">
        <w:trPr>
          <w:jc w:val="center"/>
        </w:trPr>
        <w:tc>
          <w:tcPr>
            <w:tcW w:w="508" w:type="dxa"/>
            <w:shd w:val="clear" w:color="auto" w:fill="FFFFFF"/>
          </w:tcPr>
          <w:p w:rsidR="0088465D" w:rsidRDefault="005B3E3B">
            <w:r>
              <w:rPr>
                <w:rFonts w:ascii="Times New Roman" w:hAnsi="Times New Roman"/>
                <w:b/>
                <w:sz w:val="15"/>
              </w:rPr>
              <w:t>Kofler 2017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0/134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2/134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0/134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1/134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</w:tr>
      <w:tr w:rsidR="0088465D">
        <w:trPr>
          <w:jc w:val="center"/>
        </w:trPr>
        <w:tc>
          <w:tcPr>
            <w:tcW w:w="508" w:type="dxa"/>
            <w:shd w:val="clear" w:color="auto" w:fill="EBF3FB"/>
          </w:tcPr>
          <w:p w:rsidR="0088465D" w:rsidRDefault="005B3E3B">
            <w:r>
              <w:rPr>
                <w:rFonts w:ascii="Times New Roman" w:hAnsi="Times New Roman"/>
                <w:b/>
                <w:sz w:val="15"/>
              </w:rPr>
              <w:t>Dokollari 2023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1/267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0/267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2/267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2/267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47/267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81/267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1/267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5/267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4/267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15/267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2/267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1/267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5 (IQR 4–7)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7 (IQR 5–10)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31.2 (IQR)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65.0 (IQR)</w:t>
            </w:r>
          </w:p>
        </w:tc>
      </w:tr>
      <w:tr w:rsidR="0088465D">
        <w:trPr>
          <w:jc w:val="center"/>
        </w:trPr>
        <w:tc>
          <w:tcPr>
            <w:tcW w:w="508" w:type="dxa"/>
            <w:shd w:val="clear" w:color="auto" w:fill="FFFFFF"/>
          </w:tcPr>
          <w:p w:rsidR="0088465D" w:rsidRDefault="005B3E3B">
            <w:r>
              <w:rPr>
                <w:rFonts w:ascii="Times New Roman" w:hAnsi="Times New Roman"/>
                <w:b/>
                <w:sz w:val="15"/>
              </w:rPr>
              <w:t>Yokoyama 2021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81/7330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154/7330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73/7330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95/7330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59/7330†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59/7330†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7.3±6.2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9.3±6.6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</w:tr>
      <w:tr w:rsidR="0088465D">
        <w:trPr>
          <w:jc w:val="center"/>
        </w:trPr>
        <w:tc>
          <w:tcPr>
            <w:tcW w:w="508" w:type="dxa"/>
            <w:shd w:val="clear" w:color="auto" w:fill="EBF3FB"/>
          </w:tcPr>
          <w:p w:rsidR="0088465D" w:rsidRDefault="005B3E3B">
            <w:r>
              <w:rPr>
                <w:rFonts w:ascii="Times New Roman" w:hAnsi="Times New Roman"/>
                <w:b/>
                <w:sz w:val="15"/>
              </w:rPr>
              <w:t>Liu 2025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23/1796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32/1796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HR 0.77‡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—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</w:tr>
      <w:tr w:rsidR="0088465D">
        <w:trPr>
          <w:jc w:val="center"/>
        </w:trPr>
        <w:tc>
          <w:tcPr>
            <w:tcW w:w="508" w:type="dxa"/>
            <w:shd w:val="clear" w:color="auto" w:fill="FFFFFF"/>
          </w:tcPr>
          <w:p w:rsidR="0088465D" w:rsidRDefault="005B3E3B">
            <w:r>
              <w:rPr>
                <w:rFonts w:ascii="Times New Roman" w:hAnsi="Times New Roman"/>
                <w:b/>
                <w:sz w:val="15"/>
              </w:rPr>
              <w:t>Zhou 2025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3/338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5/338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4/338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2/338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64/338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107/338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1/338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4/338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8/338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28/338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8/338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3/338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5.90±3.35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7.24±5.11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51.0±52.3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60.4±57.6</w:t>
            </w:r>
          </w:p>
        </w:tc>
      </w:tr>
      <w:tr w:rsidR="0088465D">
        <w:trPr>
          <w:jc w:val="center"/>
        </w:trPr>
        <w:tc>
          <w:tcPr>
            <w:tcW w:w="508" w:type="dxa"/>
            <w:shd w:val="clear" w:color="auto" w:fill="EBF3FB"/>
          </w:tcPr>
          <w:p w:rsidR="0088465D" w:rsidRDefault="005B3E3B">
            <w:r>
              <w:rPr>
                <w:rFonts w:ascii="Times New Roman" w:hAnsi="Times New Roman"/>
                <w:b/>
                <w:sz w:val="15"/>
              </w:rPr>
              <w:t>Verma 2025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AOR 0.35§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—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—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—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4 (IQR 3–5)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5 (IQR 4–7)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</w:tr>
      <w:tr w:rsidR="0088465D">
        <w:trPr>
          <w:jc w:val="center"/>
        </w:trPr>
        <w:tc>
          <w:tcPr>
            <w:tcW w:w="508" w:type="dxa"/>
            <w:shd w:val="clear" w:color="auto" w:fill="FFFFFF"/>
          </w:tcPr>
          <w:p w:rsidR="0088465D" w:rsidRDefault="005B3E3B">
            <w:r>
              <w:rPr>
                <w:rFonts w:ascii="Times New Roman" w:hAnsi="Times New Roman"/>
                <w:b/>
                <w:sz w:val="15"/>
              </w:rPr>
              <w:t>Drexel 2016†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0/99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5/300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0/99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3/300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18/99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75/300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5±3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7±5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50.1±55.6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63.5±86.1</w:t>
            </w:r>
          </w:p>
        </w:tc>
      </w:tr>
      <w:tr w:rsidR="0088465D">
        <w:trPr>
          <w:jc w:val="center"/>
        </w:trPr>
        <w:tc>
          <w:tcPr>
            <w:tcW w:w="508" w:type="dxa"/>
            <w:shd w:val="clear" w:color="auto" w:fill="EBF3FB"/>
          </w:tcPr>
          <w:p w:rsidR="0088465D" w:rsidRDefault="005B3E3B">
            <w:r>
              <w:rPr>
                <w:rFonts w:ascii="Times New Roman" w:hAnsi="Times New Roman"/>
                <w:b/>
                <w:sz w:val="15"/>
              </w:rPr>
              <w:t>Poston 2008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0/100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2/100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0/100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2/100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12/100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20/100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3/100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5/100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6/100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12/100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1/100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6/100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3.77±1.51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6.38±2.23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21.9±9.3</w:t>
            </w:r>
          </w:p>
        </w:tc>
        <w:tc>
          <w:tcPr>
            <w:tcW w:w="508" w:type="dxa"/>
            <w:shd w:val="clear" w:color="auto" w:fill="EBF3FB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50.6±27.3</w:t>
            </w:r>
          </w:p>
        </w:tc>
      </w:tr>
      <w:tr w:rsidR="0088465D">
        <w:trPr>
          <w:jc w:val="center"/>
        </w:trPr>
        <w:tc>
          <w:tcPr>
            <w:tcW w:w="508" w:type="dxa"/>
            <w:shd w:val="clear" w:color="auto" w:fill="FFFFFF"/>
          </w:tcPr>
          <w:p w:rsidR="0088465D" w:rsidRDefault="005B3E3B">
            <w:r>
              <w:rPr>
                <w:rFonts w:ascii="Times New Roman" w:hAnsi="Times New Roman"/>
                <w:b/>
                <w:sz w:val="15"/>
              </w:rPr>
              <w:t>Leyvi 2015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0/141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2/141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0/141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2/141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NA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1/141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1/141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2/141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7/141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2/141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5/141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6 (IQR 4–9)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7 (IQR 5–11)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31 (IQR)</w:t>
            </w:r>
          </w:p>
        </w:tc>
        <w:tc>
          <w:tcPr>
            <w:tcW w:w="508" w:type="dxa"/>
            <w:shd w:val="clear" w:color="auto" w:fill="FFFFFF"/>
          </w:tcPr>
          <w:p w:rsidR="0088465D" w:rsidRDefault="005B3E3B">
            <w:pPr>
              <w:jc w:val="center"/>
            </w:pPr>
            <w:r>
              <w:rPr>
                <w:rFonts w:ascii="Times New Roman" w:hAnsi="Times New Roman"/>
                <w:sz w:val="15"/>
              </w:rPr>
              <w:t>52 (IQR)</w:t>
            </w:r>
          </w:p>
        </w:tc>
      </w:tr>
    </w:tbl>
    <w:p w:rsidR="0088465D" w:rsidRDefault="0088465D"/>
    <w:p w:rsidR="0088465D" w:rsidRDefault="005B3E3B">
      <w:pPr>
        <w:spacing w:after="120"/>
      </w:pPr>
      <w:r>
        <w:rPr>
          <w:rFonts w:ascii="Times New Roman" w:hAnsi="Times New Roman"/>
          <w:i/>
          <w:sz w:val="18"/>
        </w:rPr>
        <w:t xml:space="preserve">R = Robotic; C = Conventional; N = denominator; AF = Atrial Fibrillation; Resp = Respiratory </w:t>
      </w:r>
      <w:r>
        <w:rPr>
          <w:rFonts w:ascii="Times New Roman" w:hAnsi="Times New Roman"/>
          <w:i/>
          <w:sz w:val="18"/>
        </w:rPr>
        <w:t>Failure/Prolonged Ventilation; Reop = Reoperation for Bleeding; LOS = Length of Stay; ICU = ICU Stay; IQR = Interquartile Range; † Drexel 2016: unmatched comparison, sensitivity analysis only. ‡ Liu 2025 stroke: Kaplan-Meier HR 0.771 (0.600–0.991); not poo</w:t>
      </w:r>
      <w:r>
        <w:rPr>
          <w:rFonts w:ascii="Times New Roman" w:hAnsi="Times New Roman"/>
          <w:i/>
          <w:sz w:val="18"/>
        </w:rPr>
        <w:t>led in binary forest plot. § Verma 2025 mortality: adjusted OR via entropy balancing; not pooled as raw counts.</w:t>
      </w:r>
    </w:p>
    <w:sectPr w:rsidR="0088465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B3E3B"/>
    <w:rsid w:val="0088465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D36F0F5C-8A05-4A33-8896-53DEE2126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424D48E-BC62-4708-8666-CC3B74ACC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Shakila K</cp:lastModifiedBy>
  <cp:revision>2</cp:revision>
  <dcterms:created xsi:type="dcterms:W3CDTF">2013-12-23T23:15:00Z</dcterms:created>
  <dcterms:modified xsi:type="dcterms:W3CDTF">2026-10-06T02:48:00Z</dcterms:modified>
  <cp:category/>
</cp:coreProperties>
</file>