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DE24B">
      <w:pP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</w:pPr>
      <w:r>
        <w:rPr>
          <w:rFonts w:hint="default" w:ascii="Times New Roman" w:hAnsi="Times New Roman" w:cs="Times New Roman"/>
          <w:b/>
          <w:bCs/>
        </w:rPr>
        <w:t xml:space="preserve">Table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S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1. Demographic and clinical characteristics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c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omparisons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b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etween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24h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s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urvivors and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n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>on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-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>survivors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.</w:t>
      </w:r>
    </w:p>
    <w:p w14:paraId="3E89B0B8">
      <w:pPr>
        <w:rPr>
          <w:rFonts w:hint="default" w:ascii="Times New Roman" w:hAnsi="Times New Roman" w:cs="Times New Roman"/>
          <w:color w:val="auto"/>
          <w:highlight w:val="none"/>
        </w:rPr>
      </w:pPr>
    </w:p>
    <w:tbl>
      <w:tblPr>
        <w:tblStyle w:val="9"/>
        <w:tblW w:w="899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7"/>
        <w:gridCol w:w="2039"/>
        <w:gridCol w:w="1830"/>
        <w:gridCol w:w="1120"/>
      </w:tblGrid>
      <w:tr w14:paraId="129A3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E2E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</w:pPr>
            <w:bookmarkStart w:id="0" w:name="OLE_LINK9"/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t>Characteristic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B4C9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  <w:lang w:eastAsia="zh-CN"/>
              </w:rPr>
              <w:t>Survi</w:t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  <w:lang w:eastAsia="zh-CN"/>
              </w:rPr>
              <w:t>v</w:t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  <w:lang w:eastAsia="zh-CN"/>
              </w:rPr>
              <w:t xml:space="preserve">al </w:t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t>N = 99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F29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  <w:lang w:eastAsia="zh-CN"/>
              </w:rPr>
              <w:t>Death</w:t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t>N = 9</w:t>
            </w:r>
          </w:p>
        </w:tc>
        <w:tc>
          <w:tcPr>
            <w:tcW w:w="112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03CB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</w:rPr>
              <w:t>p</w:t>
            </w:r>
            <w:r>
              <w:rPr>
                <w:rFonts w:hint="default" w:ascii="Times New Roman" w:hAnsi="Times New Roman" w:cs="Times New Roman"/>
              </w:rPr>
              <w:t>-value</w:t>
            </w:r>
          </w:p>
        </w:tc>
      </w:tr>
      <w:tr w14:paraId="0207A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292F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Male, n (%)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01D7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71(72%)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A34A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6(67%)</w:t>
            </w:r>
          </w:p>
        </w:tc>
        <w:tc>
          <w:tcPr>
            <w:tcW w:w="11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000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0.7</w:t>
            </w:r>
          </w:p>
        </w:tc>
      </w:tr>
      <w:tr w14:paraId="755BF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AB07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Age, years,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47C1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50.5±14.6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C411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49.3±16.9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EC39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0.8</w:t>
            </w:r>
          </w:p>
        </w:tc>
      </w:tr>
      <w:tr w14:paraId="13BAF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5ECE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PCI,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3032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19(20%)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D74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3(33%)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660A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0.4</w:t>
            </w:r>
          </w:p>
        </w:tc>
      </w:tr>
      <w:tr w14:paraId="7BE71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9CD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IABP,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2A8D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36(37%)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70DF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4(44%)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3582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0.7</w:t>
            </w:r>
          </w:p>
        </w:tc>
      </w:tr>
      <w:tr w14:paraId="4200D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73B3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CRRT,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B07A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63(65%)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6917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3(33%)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AB69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0.079</w:t>
            </w:r>
          </w:p>
        </w:tc>
      </w:tr>
      <w:tr w14:paraId="04327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43E2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Duration of ventilator,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5CCC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14.8±15.1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F3B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3.3±3.1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618B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23C3F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0DF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Duration of ECMO,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563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6.5±8.0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95E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2.8±3.0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448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0.009</w:t>
            </w:r>
          </w:p>
        </w:tc>
      </w:tr>
      <w:tr w14:paraId="695C4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A328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ICU length of stay,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4FEC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20.8±23.3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29E7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5.9±3.5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A887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396F7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CE7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Hospital length of stay,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57AC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35.4±30.6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8630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9.9±3.6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EDFF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180C3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D4D0D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Smoke,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E195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36(36%)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240A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1(11%)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B4C5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0.2</w:t>
            </w:r>
          </w:p>
        </w:tc>
      </w:tr>
      <w:tr w14:paraId="57608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410E4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Hypertension,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48C5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29(29%)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76F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4(44%)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E75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0.5</w:t>
            </w:r>
          </w:p>
        </w:tc>
      </w:tr>
      <w:tr w14:paraId="20002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7C9A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DM,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4523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17(17%)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5D85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1(11%)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213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31E58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D52E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CAD,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B38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25(25%)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624D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4(44%)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3896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0.2</w:t>
            </w:r>
          </w:p>
        </w:tc>
      </w:tr>
      <w:tr w14:paraId="04798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78AC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Prior stroke,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87C3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6(6.1%)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6E59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0(0%)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CE9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381E8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9299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CKD,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1815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5(5.1%)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FBB4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0(0%)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5A5F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41399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2794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Tumor,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7563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4(4.0%)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7F99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0(0%)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D05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7E8DA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8487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COPD,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4B4D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B25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0(0%)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B23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568C0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B2C7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Weig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/>
              </w:rPr>
              <w:t>ht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,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578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65.4±14.1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05D9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61.6±9.1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F6D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0.6</w:t>
            </w:r>
          </w:p>
        </w:tc>
      </w:tr>
      <w:tr w14:paraId="020DA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89F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BMI, kg/m²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B556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23.1±4.8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BE5F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21.9±1.9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5C39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0.4</w:t>
            </w:r>
          </w:p>
        </w:tc>
      </w:tr>
      <w:tr w14:paraId="1EE00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35BA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ECMO reason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961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09B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3164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0.077</w:t>
            </w:r>
          </w:p>
        </w:tc>
      </w:tr>
      <w:tr w14:paraId="2C340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B9A0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Circulatory,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4A60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55(56%)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5DA3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8(89%)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674E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</w:tr>
      <w:tr w14:paraId="04139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E00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Respiratory,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D8B9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44(44%)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61CD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1(11%)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16AD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</w:tr>
      <w:tr w14:paraId="5A71E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CD98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ECMO 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DB7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99E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33A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0.080</w:t>
            </w:r>
          </w:p>
        </w:tc>
      </w:tr>
      <w:tr w14:paraId="32149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E4F3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VA,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5FE6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56(57%)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8EE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8(89%)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0D6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</w:tr>
      <w:tr w14:paraId="00562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253F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VV,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51C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43(43%)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31D7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1(11%)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19BC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</w:tr>
      <w:tr w14:paraId="070C5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0B4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Bypass,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9658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29(30%)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D697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2(25%)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AF4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775C7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2480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Revolutions per minute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FE0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3,357.7±493.2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E16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3,089.4±426.9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759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0.083</w:t>
            </w:r>
          </w:p>
        </w:tc>
      </w:tr>
      <w:tr w14:paraId="595C2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A3EC3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ECMO flow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L/min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A969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3.2±0.8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3E8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2.6±0.9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55D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0.2</w:t>
            </w:r>
          </w:p>
        </w:tc>
      </w:tr>
      <w:tr w14:paraId="38034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8AC9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SBP,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0AD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107.9±17.3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ACFC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77.1±26.1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886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52D72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DAD8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DBP,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A07F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64.6±12.5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EFA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49.2±15.8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BD6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0.003</w:t>
            </w:r>
          </w:p>
        </w:tc>
      </w:tr>
      <w:tr w14:paraId="0FC33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5438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MAP,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F56E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79.4±12.5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A9AD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60.3±20.3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721C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0.002</w:t>
            </w:r>
          </w:p>
        </w:tc>
      </w:tr>
      <w:tr w14:paraId="2B6E3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5C4E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APACHE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3FBA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26.2±7.3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F193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33.6±8.2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674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0.024</w:t>
            </w:r>
          </w:p>
        </w:tc>
      </w:tr>
      <w:tr w14:paraId="17003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563874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28-day death,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C069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30(30%)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A1BE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9(100%)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657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1585D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FBC821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1-year death,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99E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35(49%)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7854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9(100%)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5100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0.003</w:t>
            </w:r>
          </w:p>
        </w:tc>
      </w:tr>
      <w:tr w14:paraId="440F3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EA5D4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Successful weaning from ECMO,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6CA4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21(22%)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F6B2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9(100%)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22C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25B97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60BE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AKI,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689E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43(43%)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9EAF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2(22%)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258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0.3</w:t>
            </w:r>
          </w:p>
        </w:tc>
      </w:tr>
      <w:tr w14:paraId="51FE8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2A10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Gastrointestinal hemorrhage,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E24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9(9.1%)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DD4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0(0%)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B0D5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67A0E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BCDD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Airway hemorrhage,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86AB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4(4.0%)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6B94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0(0%)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2117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02F6E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64F0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Limb occlusion,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6DA4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2(2.0%)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5324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0(0%)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AF81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60793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C698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Stroke,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D17A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4(4.0%)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4B6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0(0%)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0986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03C4F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D3CE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Hemorrhage,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A246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7(7.1%)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275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0(0%)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04BC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5924F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7D68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E34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7.3±0.2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F3D6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6.9±0.1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798D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3DEEB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07838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PaO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C0ED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202.0±142.1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253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241.8±187.6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5293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0.8</w:t>
            </w:r>
          </w:p>
        </w:tc>
      </w:tr>
      <w:tr w14:paraId="740DE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F0AB9E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PCO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F478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31.9±9.2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D211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39.3±20.7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0745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0.10</w:t>
            </w:r>
          </w:p>
        </w:tc>
      </w:tr>
      <w:tr w14:paraId="1D7DE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66EA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LAC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mmol/L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1ECC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6.1±4.2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756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11.9±2.8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190F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7BB10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B4008F">
            <w:pPr>
              <w:keepNext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WBC, 10⁹/L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860D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15.7±8.9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D1C5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18.9±20.9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A1CF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0.5</w:t>
            </w:r>
          </w:p>
        </w:tc>
      </w:tr>
      <w:tr w14:paraId="2A07C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7EB42E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RBC, 10¹²/L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32D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3.7±1.0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4FA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3.2±0.6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82A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0.2</w:t>
            </w:r>
          </w:p>
        </w:tc>
      </w:tr>
      <w:tr w14:paraId="63047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77F2A2">
            <w:pPr>
              <w:keepNext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H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b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A3EF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104.7±25.2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2D48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94.0±16.1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494C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0.3</w:t>
            </w:r>
          </w:p>
        </w:tc>
      </w:tr>
      <w:tr w14:paraId="0EE4C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07FA68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PLT, 10⁹/L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1E13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172.5±107.1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CC5E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74.5±59.2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4D69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0.011</w:t>
            </w:r>
          </w:p>
        </w:tc>
      </w:tr>
      <w:tr w14:paraId="2A716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68DF0F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PTA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4234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0.6±0.2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A4A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0.3±0.3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39D3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0.008</w:t>
            </w:r>
          </w:p>
        </w:tc>
      </w:tr>
      <w:tr w14:paraId="3D26B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2098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APTT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seconds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756E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66.4±46.4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0DDD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149.8±77.8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DDD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0.012</w:t>
            </w:r>
          </w:p>
        </w:tc>
      </w:tr>
      <w:tr w14:paraId="42858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EAAB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DD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mg/L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BB22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7.2±4.2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1B44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18.8±1.8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129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611D1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81C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LVEF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3A94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0.5±0.2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6076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0.2±0.2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C030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7D908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0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E9E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Institutional, n (%)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6A11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71(72%)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3FA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4(44%)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5464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0.13</w:t>
            </w:r>
          </w:p>
        </w:tc>
      </w:tr>
    </w:tbl>
    <w:p w14:paraId="546BA492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32F5123B">
      <w:pPr>
        <w:widowControl/>
        <w:numPr>
          <w:ilvl w:val="0"/>
          <w:numId w:val="0"/>
        </w:numPr>
        <w:spacing w:line="480" w:lineRule="auto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  <w:t>Continuous variables are expressed as mean±standard deviation or interquartile range, and categorical variables as frequencies (n) and percentages (%).</w:t>
      </w:r>
    </w:p>
    <w:bookmarkEnd w:id="0"/>
    <w:p w14:paraId="716B3EEB">
      <w:pPr>
        <w:widowControl/>
        <w:numPr>
          <w:ilvl w:val="0"/>
          <w:numId w:val="0"/>
        </w:numPr>
        <w:spacing w:line="480" w:lineRule="auto"/>
        <w:jc w:val="left"/>
        <w:rPr>
          <w:rFonts w:hint="default" w:ascii="Times New Roman" w:hAnsi="Times New Roman" w:eastAsia="宋体" w:cs="Times New Roman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</w:rPr>
        <w:t>Abbreviation: BMI, body mass index; DM, diabetes mellitus; CAD, coronary artery disease; CKD, chronic kidney disease; COPD, chronic obstructive pulmonary disease; VA, venoarterial; VV, venovenous; SBP, systolic blood pressure; DBP, diastolic blood pressure; MAP, mean arterial pressure; APACHE II, acute physiology and chronic health evaluation II; LVEF, left ventricular ejection fraction; PaO2, partial pressure of arterial oxygen; PCO2, partial pressure of carbon dioxide; LAC, lactate; WBC, white blood cell count; RBC, red blood cell count; Hb, hemoglobin; PLT, platelet count; PTA, prothrombin activity; APTT, activated partial thromboplastin time; DD, D-Dimer, PCI, percutaneous coronary intervention; IABP, intra-aortic balloon pump; CRRT, continuous renal replacement therapy; ICU, intensive care unit; AKI, acute kidney injury; ECMO, extracorporeal membrane oxygenation.</w:t>
      </w:r>
    </w:p>
    <w:p w14:paraId="68EFB724">
      <w:pPr>
        <w:rPr>
          <w:rFonts w:hint="default" w:ascii="Times New Roman" w:hAnsi="Times New Roman" w:cs="Times New Roman"/>
          <w:color w:val="auto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highlight w:val="none"/>
        </w:rPr>
        <w:br w:type="page"/>
      </w:r>
    </w:p>
    <w:p w14:paraId="4EC0A361">
      <w:pPr>
        <w:jc w:val="center"/>
        <w:textAlignment w:val="center"/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highlight w:val="none"/>
          <w:lang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highlight w:val="none"/>
          <w:lang w:eastAsia="zh-CN" w:bidi="ar"/>
        </w:rPr>
        <w:t>Table S2. logistic regression analysis of predictors for mortality within 24h.</w:t>
      </w:r>
    </w:p>
    <w:tbl>
      <w:tblPr>
        <w:tblStyle w:val="10"/>
        <w:tblW w:w="8631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2397"/>
        <w:gridCol w:w="1236"/>
        <w:gridCol w:w="2442"/>
        <w:gridCol w:w="1076"/>
      </w:tblGrid>
      <w:tr w14:paraId="252E1F8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F8B31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Variables </w:t>
            </w:r>
          </w:p>
        </w:tc>
        <w:tc>
          <w:tcPr>
            <w:tcW w:w="0" w:type="auto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FB04D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Univariable analysis </w:t>
            </w:r>
          </w:p>
        </w:tc>
        <w:tc>
          <w:tcPr>
            <w:tcW w:w="107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F4BE1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Multivariable analysis </w:t>
            </w:r>
          </w:p>
        </w:tc>
      </w:tr>
      <w:tr w14:paraId="78FD9CB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B377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C738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OR (95% CI)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B9CA7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i/>
              </w:rPr>
              <w:t>p</w:t>
            </w:r>
            <w:r>
              <w:rPr>
                <w:rFonts w:hint="default" w:ascii="Times New Roman" w:hAnsi="Times New Roman" w:cs="Times New Roman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98A2F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OR (95% CI)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B20F3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i/>
              </w:rPr>
              <w:t>p</w:t>
            </w:r>
            <w:r>
              <w:rPr>
                <w:rFonts w:hint="default" w:ascii="Times New Roman" w:hAnsi="Times New Roman" w:cs="Times New Roman"/>
              </w:rPr>
              <w:t>-value</w:t>
            </w:r>
          </w:p>
        </w:tc>
      </w:tr>
      <w:tr w14:paraId="2400E62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71470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2"/>
                <w:highlight w:val="none"/>
                <w:lang w:eastAsia="zh-CN" w:bidi="ar"/>
              </w:rPr>
              <w:t>SBP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EED2C">
            <w:pPr>
              <w:pStyle w:val="8"/>
              <w:widowControl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0.933 (0.895-0.972)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DA71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1F4191">
            <w:pPr>
              <w:pStyle w:val="8"/>
              <w:widowControl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 xml:space="preserve">0.855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>0.806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>0.909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>)</w:t>
            </w:r>
          </w:p>
        </w:tc>
        <w:tc>
          <w:tcPr>
            <w:tcW w:w="107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34452">
            <w:pPr>
              <w:pStyle w:val="8"/>
              <w:widowControl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>&lt;0.001</w:t>
            </w:r>
          </w:p>
        </w:tc>
      </w:tr>
      <w:tr w14:paraId="1CC8E23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20B86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2"/>
                <w:highlight w:val="none"/>
                <w:lang w:eastAsia="zh-CN" w:bidi="ar"/>
              </w:rPr>
              <w:t>LAC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00EE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1.345 (1.123-1.61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59988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C50C1">
            <w:pPr>
              <w:pStyle w:val="8"/>
              <w:widowControl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>1.038 (0.977-1.099)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F29EF4">
            <w:pPr>
              <w:pStyle w:val="8"/>
              <w:widowControl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>0.232</w:t>
            </w:r>
          </w:p>
        </w:tc>
      </w:tr>
      <w:tr w14:paraId="0453E11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A4C2B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2"/>
                <w:highlight w:val="none"/>
                <w:lang w:eastAsia="zh-CN" w:bidi="ar"/>
              </w:rPr>
              <w:t>DD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CDC74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2.924 (1.407-6.080)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2095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0D2AB1">
            <w:pPr>
              <w:pStyle w:val="8"/>
              <w:widowControl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>1.078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>1.024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>1.139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>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BAB34">
            <w:pPr>
              <w:pStyle w:val="8"/>
              <w:widowControl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-SA"/>
              </w:rPr>
              <w:t>0.009</w:t>
            </w:r>
          </w:p>
        </w:tc>
      </w:tr>
    </w:tbl>
    <w:p w14:paraId="30004F8D">
      <w:pPr>
        <w:rPr>
          <w:rFonts w:hint="default" w:ascii="Times New Roman" w:hAnsi="Times New Roman" w:cs="Times New Roman"/>
          <w:color w:val="auto"/>
          <w:highlight w:val="none"/>
          <w:lang w:eastAsia="zh-CN"/>
        </w:rPr>
      </w:pPr>
    </w:p>
    <w:p w14:paraId="110513A1">
      <w:pPr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>Abbreviation: SBP, systolic blood pressure; LVEF, left ventricular ejection fraction; LAC, lactate; DD, D-Dimer.</w:t>
      </w:r>
    </w:p>
    <w:p w14:paraId="35994246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153FE9BA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1EBE8591">
      <w:pPr>
        <w:rPr>
          <w:rFonts w:hint="default" w:ascii="Times New Roman" w:hAnsi="Times New Roman" w:cs="Times New Roman"/>
          <w:b/>
          <w:bCs/>
          <w:color w:val="auto"/>
          <w:highlight w:val="none"/>
        </w:rPr>
      </w:pPr>
    </w:p>
    <w:p w14:paraId="4BFECFC6">
      <w:pPr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Table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S3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. Demographic and clinical characteristics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c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omparisons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b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etween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28 days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s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urvivors and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n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>on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-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>survivors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.</w:t>
      </w:r>
    </w:p>
    <w:tbl>
      <w:tblPr>
        <w:tblStyle w:val="9"/>
        <w:tblW w:w="881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1"/>
        <w:gridCol w:w="1988"/>
        <w:gridCol w:w="1713"/>
        <w:gridCol w:w="1075"/>
      </w:tblGrid>
      <w:tr w14:paraId="28530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609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t>Characteristic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D344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  <w:lang w:eastAsia="zh-CN"/>
              </w:rPr>
              <w:t>Survi</w:t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  <w:lang w:eastAsia="zh-CN"/>
              </w:rPr>
              <w:t>v</w:t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  <w:lang w:eastAsia="zh-CN"/>
              </w:rPr>
              <w:t xml:space="preserve">al </w:t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t>N = 69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ED4B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  <w:lang w:eastAsia="zh-CN"/>
              </w:rPr>
              <w:t>Death</w:t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t>N = 39</w:t>
            </w:r>
          </w:p>
        </w:tc>
        <w:tc>
          <w:tcPr>
            <w:tcW w:w="107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34C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</w:rPr>
              <w:t>p</w:t>
            </w:r>
            <w:r>
              <w:rPr>
                <w:rFonts w:hint="default" w:ascii="Times New Roman" w:hAnsi="Times New Roman" w:cs="Times New Roman"/>
              </w:rPr>
              <w:t>-value</w:t>
            </w:r>
          </w:p>
        </w:tc>
      </w:tr>
      <w:tr w14:paraId="148CE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C8D0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Male, n (%)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E0E8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46(67%)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45F4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31(79%)</w:t>
            </w:r>
          </w:p>
        </w:tc>
        <w:tc>
          <w:tcPr>
            <w:tcW w:w="10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B1D6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0.2</w:t>
            </w:r>
          </w:p>
        </w:tc>
      </w:tr>
      <w:tr w14:paraId="47F34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53F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Age,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C218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49.2±14.6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12A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52.4±14.9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73B4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0.4</w:t>
            </w:r>
          </w:p>
        </w:tc>
      </w:tr>
      <w:tr w14:paraId="4FB84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3F49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PCI,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EA56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13(19%)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FD7B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9(23%)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89DB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0.7</w:t>
            </w:r>
          </w:p>
        </w:tc>
      </w:tr>
      <w:tr w14:paraId="36C19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71AE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IABP,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740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22(32%)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A586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18(46%)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31C7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0.2</w:t>
            </w:r>
          </w:p>
        </w:tc>
      </w:tr>
      <w:tr w14:paraId="67FE2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350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CRRT,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E0D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38(57%)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B063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28(72%)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D66C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0.12</w:t>
            </w:r>
          </w:p>
        </w:tc>
      </w:tr>
      <w:tr w14:paraId="69940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2711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Duration of ventilator,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D4AA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17.8±17.0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59F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7.0±5.2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2795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67D67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EEE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Duration of ECMO,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0154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7.1±9.2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2EF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4.5±3.7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8405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0.029</w:t>
            </w:r>
          </w:p>
        </w:tc>
      </w:tr>
      <w:tr w14:paraId="5B5FC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129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ICU length of stay,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299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25.7±26.3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88B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8.8±4.8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8CA9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4BAB1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259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Hospital length of stay,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729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43.8±33.0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51C8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14.6±7.4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8CBF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65C67E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47C689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Smoke,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9880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29(42%)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370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(21%)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AFC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0.024</w:t>
            </w:r>
          </w:p>
        </w:tc>
      </w:tr>
      <w:tr w14:paraId="4AA63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DCA7E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Hypertension,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DED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19(28%)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AEB3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14(36%)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AA3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0.4</w:t>
            </w:r>
          </w:p>
        </w:tc>
      </w:tr>
      <w:tr w14:paraId="34F1F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8D98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DM,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472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12(17%)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71A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6(15%)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0A73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0.8</w:t>
            </w:r>
          </w:p>
        </w:tc>
      </w:tr>
      <w:tr w14:paraId="02A9F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4703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CAD,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7057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15(22%)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D2EC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14(36%)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BE89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0.11</w:t>
            </w:r>
          </w:p>
        </w:tc>
      </w:tr>
      <w:tr w14:paraId="6848D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7688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Prior stroke,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550E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4(5.8%)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7ED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2(5.1%)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BF0C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31945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E858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CKD,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A3B5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2(2.9%)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746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3(7.7%)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765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0.3</w:t>
            </w:r>
          </w:p>
        </w:tc>
      </w:tr>
      <w:tr w14:paraId="739CC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3EC9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Tumor,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CCFC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2(2.9%)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522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2(5.1%)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FFE9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0.6</w:t>
            </w:r>
          </w:p>
        </w:tc>
      </w:tr>
      <w:tr w14:paraId="577C1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971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COPD,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087C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1(1.4%)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92C0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0(0%)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0D1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72EB5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4D9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Weig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t,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BA73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64.7±15.1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067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65.8±11.1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FCD1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0.4</w:t>
            </w:r>
          </w:p>
        </w:tc>
      </w:tr>
      <w:tr w14:paraId="70F85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7B6A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BMI, kg/m²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63F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23.4±4.6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EE7A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22.4±4.8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D0FF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0.7</w:t>
            </w:r>
          </w:p>
        </w:tc>
      </w:tr>
      <w:tr w14:paraId="04E36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89D6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ECMO reason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F0F4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EAD4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DE86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0.033</w:t>
            </w:r>
          </w:p>
        </w:tc>
      </w:tr>
      <w:tr w14:paraId="6A8E5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CF0F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Circulatory,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97A1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35(51%)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1D87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28(72%)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D2B5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</w:tr>
      <w:tr w14:paraId="1447E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5BBC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Respiratory,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CE5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34(49%)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DA8A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11(28%)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1330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</w:tr>
      <w:tr w14:paraId="4B052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A91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ECMO 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4AD3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A459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81B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0.016</w:t>
            </w:r>
          </w:p>
        </w:tc>
      </w:tr>
      <w:tr w14:paraId="375B6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340A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VA,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9459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35(51%)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C51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29(74%)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365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</w:tr>
      <w:tr w14:paraId="6E82D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FFE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VV,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34BA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34(49%)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BBF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10(26%)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4B1C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</w:tr>
      <w:tr w14:paraId="6F622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8815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Bypass,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ABE7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18(26%)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188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13(34%)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E19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0.4</w:t>
            </w:r>
          </w:p>
        </w:tc>
      </w:tr>
      <w:tr w14:paraId="79AB4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A42B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Revolutions per minute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12FA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3,407.7±463.4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1402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3,211.7±522.0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B317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0.061</w:t>
            </w:r>
          </w:p>
        </w:tc>
      </w:tr>
      <w:tr w14:paraId="4FFED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D386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ECMO flow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L/min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CCD0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3.3±0.9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CE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2.9±0.7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34BB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0.037</w:t>
            </w:r>
          </w:p>
        </w:tc>
      </w:tr>
      <w:tr w14:paraId="2D605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ED71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SBP,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2B4B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111.9±14.6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FD51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93.7±22.8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205B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4C667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3327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DBP,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876E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65.3±11.7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B72C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59.9±15.7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36D3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0.2</w:t>
            </w:r>
          </w:p>
        </w:tc>
      </w:tr>
      <w:tr w14:paraId="08BB7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A4E4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MAP,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EBB8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81.1±10.8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21B4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71.9±17.4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0F29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0.023</w:t>
            </w:r>
          </w:p>
        </w:tc>
      </w:tr>
      <w:tr w14:paraId="33751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15CA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APACHE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067B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24.7±7.3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B400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30.2±6.8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72C1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2A801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6B6C9A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1-year death,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210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7(16%)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BF80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37(100%)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66C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2F3F9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20FC4B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Successful weaning from ECMO,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7B7B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1(1.5%)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039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29(74%)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E5F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12A27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C1E5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AKI,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A0CB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27(39%)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A1C3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18(46%)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550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0.5</w:t>
            </w:r>
          </w:p>
        </w:tc>
      </w:tr>
      <w:tr w14:paraId="1D2A1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262C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Gastrointestinal hemorrhage,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52A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7(10%)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8B69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2(5.1%)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301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0.5</w:t>
            </w:r>
          </w:p>
        </w:tc>
      </w:tr>
      <w:tr w14:paraId="04967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067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Airway hemorrhage,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8BD4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3(4.3%)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322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1(2.6%)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208B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1A0A7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9F17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Limb occlusion,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5387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1(1.4%)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7848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1(2.6%)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6F89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&gt;0.9</w:t>
            </w:r>
          </w:p>
        </w:tc>
      </w:tr>
      <w:tr w14:paraId="3C754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43C3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Stroke,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9C96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2(2.9%)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666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2(5.1%)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A802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0.6</w:t>
            </w:r>
          </w:p>
        </w:tc>
      </w:tr>
      <w:tr w14:paraId="40FBC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6419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Hemorrhage,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522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4(5.8%)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7647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3(7.7%)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AD50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0.7</w:t>
            </w:r>
          </w:p>
        </w:tc>
      </w:tr>
      <w:tr w14:paraId="3B6F4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0AF9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059B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7.4±0.2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3A7F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7.0±0.1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FEC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08FC5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9B5CF7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PaO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A3F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179.0±128.2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268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254.5±162.6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EBBE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0.025</w:t>
            </w:r>
          </w:p>
        </w:tc>
      </w:tr>
      <w:tr w14:paraId="63C86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C7964B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PCO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DD92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32.1±9.2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4003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32.8±12.2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D621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0.8</w:t>
            </w:r>
          </w:p>
        </w:tc>
      </w:tr>
      <w:tr w14:paraId="3D0BF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16E7A4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LAC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mmol/L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C133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4.0±2.2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F1F1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11.1±3.5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CB87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3BB78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A6D65B">
            <w:pPr>
              <w:keepNext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WBC, 10⁹/L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7A1C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15.2±8.9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A90F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17.3±11.6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37D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0.5</w:t>
            </w:r>
          </w:p>
        </w:tc>
      </w:tr>
      <w:tr w14:paraId="545D7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BFED4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RBC, 10¹²/L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FE37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3.8±1.0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A8BA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3.4±0.9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07EE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0.029</w:t>
            </w:r>
          </w:p>
        </w:tc>
      </w:tr>
      <w:tr w14:paraId="0F6FF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DB712">
            <w:pPr>
              <w:keepNext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H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b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44FB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107.0±24.3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759A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98.2±25.2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AA04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0.079</w:t>
            </w:r>
          </w:p>
        </w:tc>
      </w:tr>
      <w:tr w14:paraId="6B462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5320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PLT, 10⁹/L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0ECE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181.1±110.8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1AE8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137.8±95.0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5894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0.053</w:t>
            </w:r>
          </w:p>
        </w:tc>
      </w:tr>
      <w:tr w14:paraId="4FA0E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8FA39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PTA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397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0.6±0.2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0F8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0.5±0.2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6AC1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4C016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BB2D55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APTT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seconds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C707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60.2±46.0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80F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93.8±57.2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AAA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5E9AD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787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DD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mg/L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48D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5.7±3.7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E821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12.6±4.6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65F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5C943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5FD5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LVEF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E9F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0.5±0.1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4A25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0.3±0.2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9DB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&lt;0.001</w:t>
            </w:r>
          </w:p>
        </w:tc>
      </w:tr>
      <w:tr w14:paraId="7DACD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047E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Institutional, n (%)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8A0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50(72%)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A0D3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25(64%)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E2ED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  <w:t>0.4</w:t>
            </w:r>
          </w:p>
        </w:tc>
      </w:tr>
    </w:tbl>
    <w:p w14:paraId="6B8E06E4">
      <w:pPr>
        <w:widowControl/>
        <w:numPr>
          <w:ilvl w:val="0"/>
          <w:numId w:val="0"/>
        </w:numPr>
        <w:spacing w:line="480" w:lineRule="auto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auto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auto"/>
        </w:rPr>
        <w:t>Continuous variables are expressed as mean±standard deviation or interquartile range, and categorical variables as frequencies (n) and percentages (%).</w:t>
      </w:r>
    </w:p>
    <w:p w14:paraId="71F9C4B1">
      <w:pPr>
        <w:widowControl/>
        <w:numPr>
          <w:ilvl w:val="0"/>
          <w:numId w:val="0"/>
        </w:numPr>
        <w:spacing w:line="480" w:lineRule="auto"/>
        <w:jc w:val="left"/>
        <w:rPr>
          <w:rFonts w:hint="default" w:ascii="Times New Roman" w:hAnsi="Times New Roman" w:eastAsia="宋体" w:cs="Times New Roman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</w:rPr>
        <w:t>Abbreviation: BMI, body mass index; DM, diabetes mellitus; CAD, coronary artery disease; CKD, chronic kidney disease; COPD, chronic obstructive pulmonary disease; VA, venoarterial; VV, venovenous; SBP, systolic blood pressure; DBP, diastolic blood pressure; MAP, mean arterial pressure; APACHE II, acute physiology and chronic health evaluation II; LVEF, left ventricular ejection fraction; PaO2, partial pressure of arterial oxygen; PCO2, partial pressure of carbon dioxide; LAC, lactate; WBC, white blood cell count; RBC, red blood cell count; Hb, hemoglobin; PLT, platelet count; PTA, prothrombin activity; APTT, activated partial thromboplastin time; DD, D-Dimer, PCI, percutaneous coronary intervention; IABP, intra-aortic balloon pump; CRRT, continuous renal replacement therapy; ICU, intensive care unit; AKI, acute kidney injury; ECMO, extracorporeal membrane oxygenation.</w:t>
      </w:r>
    </w:p>
    <w:p w14:paraId="0E2663E0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6AB839C8">
      <w:pPr>
        <w:jc w:val="both"/>
        <w:textAlignment w:val="center"/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highlight w:val="none"/>
          <w:lang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highlight w:val="none"/>
          <w:lang w:eastAsia="zh-CN" w:bidi="ar"/>
        </w:rPr>
        <w:t>Table S4. logistic regression analysis of predictors for mortality within 28 days.</w:t>
      </w:r>
    </w:p>
    <w:tbl>
      <w:tblPr>
        <w:tblStyle w:val="10"/>
        <w:tblW w:w="8603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2694"/>
        <w:gridCol w:w="1075"/>
        <w:gridCol w:w="2301"/>
        <w:gridCol w:w="1037"/>
      </w:tblGrid>
      <w:tr w14:paraId="6EE300A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18C6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Variables </w:t>
            </w:r>
          </w:p>
        </w:tc>
        <w:tc>
          <w:tcPr>
            <w:tcW w:w="0" w:type="auto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743A8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Univariable analysis </w:t>
            </w:r>
          </w:p>
        </w:tc>
        <w:tc>
          <w:tcPr>
            <w:tcW w:w="33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681E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Multivariable analysis </w:t>
            </w:r>
          </w:p>
        </w:tc>
      </w:tr>
      <w:tr w14:paraId="4AC9E52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C967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5ACC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OR (95% CI)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100D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i/>
              </w:rPr>
              <w:t>p</w:t>
            </w:r>
            <w:r>
              <w:rPr>
                <w:rFonts w:hint="default" w:ascii="Times New Roman" w:hAnsi="Times New Roman" w:cs="Times New Roman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A0FB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OR (95% CI)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89067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i/>
              </w:rPr>
              <w:t>p</w:t>
            </w:r>
            <w:r>
              <w:rPr>
                <w:rFonts w:hint="default" w:ascii="Times New Roman" w:hAnsi="Times New Roman" w:cs="Times New Roman"/>
              </w:rPr>
              <w:t>-value</w:t>
            </w:r>
          </w:p>
        </w:tc>
      </w:tr>
      <w:tr w14:paraId="1C462F8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693F3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Smoke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AC163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0.356 (0.142-0.886)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DC72D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0.027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2EE43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1.497 (0.943-2.396)</w:t>
            </w: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710A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0.091</w:t>
            </w:r>
          </w:p>
        </w:tc>
      </w:tr>
      <w:tr w14:paraId="39AC09E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D3456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ECMO 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1A9C1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0.355 (0.1502-0.8387)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E415F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BBA9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0.872 (0.703-1.078)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A1F11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0.218</w:t>
            </w:r>
          </w:p>
        </w:tc>
      </w:tr>
      <w:tr w14:paraId="279D924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05B6D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SBP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45407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0.935 (0.9036-0.9674)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C6B23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B0403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0.999 (0.996-1.010)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9CACC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0.269</w:t>
            </w:r>
          </w:p>
        </w:tc>
      </w:tr>
      <w:tr w14:paraId="311D1C2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819BA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LAC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3C3C8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2.197 (1.601-3.014)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EA634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0688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val="en-US" w:eastAsia="zh-CN" w:bidi="ar"/>
              </w:rPr>
              <w:t>1.026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1.003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1.048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 xml:space="preserve">)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E6B79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0.026</w:t>
            </w:r>
          </w:p>
        </w:tc>
      </w:tr>
      <w:tr w14:paraId="148BA63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ED6C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RBC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12170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0.599 (0.3709-0.96)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A9B7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FA42D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0.951 (0.895-1.010)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E26D6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0.110</w:t>
            </w:r>
          </w:p>
        </w:tc>
      </w:tr>
      <w:tr w14:paraId="2E25F50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300B6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DD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2BBD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1.474 (1.272-1.709)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5E361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4E3FF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val="en-US" w:eastAsia="zh-CN" w:bidi="ar"/>
              </w:rPr>
              <w:t>1.119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1.003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1.366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F99DC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0.043</w:t>
            </w:r>
          </w:p>
        </w:tc>
      </w:tr>
      <w:tr w14:paraId="6DF77FB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35769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val="en-US" w:eastAsia="zh-CN" w:bidi="ar"/>
              </w:rPr>
              <w:t>LV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44EE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0.0001(4.8e-06-0.0082)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240D5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21DAE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val="en-US" w:eastAsia="zh-CN" w:bidi="ar"/>
              </w:rPr>
              <w:t>0.495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0.262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0.870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D72D7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0.018</w:t>
            </w:r>
          </w:p>
        </w:tc>
      </w:tr>
      <w:tr w14:paraId="716E58E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96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EAD79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Institutional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5D5C0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0.678 (0.292-1.573)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9F42E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0.370</w:t>
            </w:r>
          </w:p>
        </w:tc>
        <w:tc>
          <w:tcPr>
            <w:tcW w:w="230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D6FFD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 xml:space="preserve">1.050 (0.863-1.267)  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20FBF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0.644</w:t>
            </w:r>
          </w:p>
        </w:tc>
      </w:tr>
    </w:tbl>
    <w:p w14:paraId="444812AF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347C76BE">
      <w:pPr>
        <w:widowControl/>
        <w:numPr>
          <w:ilvl w:val="0"/>
          <w:numId w:val="0"/>
        </w:numPr>
        <w:spacing w:line="480" w:lineRule="auto"/>
        <w:jc w:val="left"/>
        <w:rPr>
          <w:rFonts w:hint="default" w:ascii="Times New Roman" w:hAnsi="Times New Roman" w:eastAsia="宋体" w:cs="Times New Roman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spacing w:val="0"/>
          <w:sz w:val="24"/>
          <w:szCs w:val="24"/>
          <w:highlight w:val="none"/>
          <w:shd w:val="clear" w:color="auto" w:fill="auto"/>
        </w:rPr>
        <w:t>A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auto"/>
        </w:rPr>
        <w:t>bbreviation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auto"/>
          <w:lang w:val="en-US" w:eastAsia="zh-CN"/>
        </w:rPr>
        <w:t>: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>SBP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>, s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 xml:space="preserve">ystolic 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 xml:space="preserve">lood 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>p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>ressure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>LVEF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>, l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 xml:space="preserve">eft 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>v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 xml:space="preserve">entricular 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>e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 xml:space="preserve">jection 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>f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>raction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  <w:t>LAC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/>
        </w:rPr>
        <w:t>, l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  <w:t>actate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  <w:t>RBC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/>
        </w:rPr>
        <w:t>, r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  <w:t>ed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/>
        </w:rPr>
        <w:t xml:space="preserve"> b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  <w:t xml:space="preserve">lood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  <w:t xml:space="preserve">ell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  <w:t>ount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  <w:t>DD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  <w:t>D-Dimer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/>
        </w:rPr>
        <w:t>.</w:t>
      </w:r>
    </w:p>
    <w:p w14:paraId="165AA8FF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1F3D9F00">
      <w:pPr>
        <w:rPr>
          <w:rFonts w:hint="default" w:ascii="Times New Roman" w:hAnsi="Times New Roman" w:cs="Times New Roman"/>
          <w:b/>
          <w:bCs/>
          <w:color w:val="auto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Table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S5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. Demographic and clinical characteristics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c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omparisons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b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etween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1 year s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 xml:space="preserve">urvivors and 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n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>on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-</w:t>
      </w:r>
      <w:r>
        <w:rPr>
          <w:rFonts w:hint="default" w:ascii="Times New Roman" w:hAnsi="Times New Roman" w:cs="Times New Roman"/>
          <w:b/>
          <w:bCs/>
          <w:color w:val="auto"/>
          <w:highlight w:val="none"/>
        </w:rPr>
        <w:t>survivors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.</w:t>
      </w:r>
    </w:p>
    <w:tbl>
      <w:tblPr>
        <w:tblStyle w:val="9"/>
        <w:tblW w:w="900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0"/>
        <w:gridCol w:w="2039"/>
        <w:gridCol w:w="1752"/>
        <w:gridCol w:w="1131"/>
      </w:tblGrid>
      <w:tr w14:paraId="150FB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0760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t>Characteristic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4FA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  <w:lang w:eastAsia="zh-CN"/>
              </w:rPr>
              <w:t>Survi</w:t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  <w:lang w:eastAsia="zh-CN"/>
              </w:rPr>
              <w:t>v</w:t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  <w:lang w:eastAsia="zh-CN"/>
              </w:rPr>
              <w:t xml:space="preserve">al </w:t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t>N = 37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194B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  <w:lang w:eastAsia="zh-CN"/>
              </w:rPr>
              <w:t>Death</w:t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  <w:t>N = 44</w:t>
            </w:r>
          </w:p>
        </w:tc>
        <w:tc>
          <w:tcPr>
            <w:tcW w:w="1131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847F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</w:rPr>
              <w:t>p</w:t>
            </w:r>
            <w:r>
              <w:rPr>
                <w:rFonts w:hint="default" w:ascii="Times New Roman" w:hAnsi="Times New Roman" w:cs="Times New Roman"/>
              </w:rPr>
              <w:t>-value</w:t>
            </w:r>
          </w:p>
        </w:tc>
      </w:tr>
      <w:tr w14:paraId="71DC8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8FFD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Male, n (%)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FC8F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22(59%)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DD1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36(82%)</w:t>
            </w:r>
          </w:p>
        </w:tc>
        <w:tc>
          <w:tcPr>
            <w:tcW w:w="113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3268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0.026</w:t>
            </w:r>
          </w:p>
        </w:tc>
      </w:tr>
      <w:tr w14:paraId="32054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422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Age,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E151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47.7±15.1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D4F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51.6±14.7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13C8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0.3</w:t>
            </w:r>
          </w:p>
        </w:tc>
      </w:tr>
      <w:tr w14:paraId="0453A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01D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PCI,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47D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8(23%)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752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11(25%)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5D4C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0.8</w:t>
            </w:r>
          </w:p>
        </w:tc>
      </w:tr>
      <w:tr w14:paraId="629AC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5280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IABP,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AB4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13(36%)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B001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20(45%)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37CC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0.4</w:t>
            </w:r>
          </w:p>
        </w:tc>
      </w:tr>
      <w:tr w14:paraId="71B1C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26B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CRRT,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1DE8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18(50%)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7E47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33(75%)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7AC3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0.021</w:t>
            </w:r>
          </w:p>
        </w:tc>
      </w:tr>
      <w:tr w14:paraId="34761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4ADD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Duration of ventilator,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1DF2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13.9±12.1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E9DF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12.2±18.3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C32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0.036</w:t>
            </w:r>
          </w:p>
        </w:tc>
      </w:tr>
      <w:tr w14:paraId="0DEA4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B24E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Duration of ECMO,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830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5.2±3.8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4C6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6.4±10.9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54D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0.7</w:t>
            </w:r>
          </w:p>
        </w:tc>
      </w:tr>
      <w:tr w14:paraId="6DDA6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E643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ICU length of stay,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ABA0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20.0±16.5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423D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18.7±31.2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3EB6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0.001</w:t>
            </w:r>
          </w:p>
        </w:tc>
      </w:tr>
      <w:tr w14:paraId="00034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1E11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Hospital length of stay,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401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38.3±28.9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682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25.1±33.4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141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&lt;0.001</w:t>
            </w:r>
          </w:p>
        </w:tc>
      </w:tr>
      <w:tr w14:paraId="41B79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1A99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Smoke,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2C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14(38%)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BAF2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12(27%)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3AA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0.3</w:t>
            </w:r>
          </w:p>
        </w:tc>
      </w:tr>
      <w:tr w14:paraId="1892A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28A0E9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Hypertension,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B1D0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5(14%)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C3D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16(36%)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2A65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0.019</w:t>
            </w:r>
          </w:p>
        </w:tc>
      </w:tr>
      <w:tr w14:paraId="4619A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B9BF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DM,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E198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4(11%)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9218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7(16%)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E71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0.5</w:t>
            </w:r>
          </w:p>
        </w:tc>
      </w:tr>
      <w:tr w14:paraId="1166D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B153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CAD,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D53D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10(27%)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9925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15(34%)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359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0.5</w:t>
            </w:r>
          </w:p>
        </w:tc>
      </w:tr>
      <w:tr w14:paraId="25D49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9CC0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Prior stroke,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8774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2(5.4%)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CF6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1(2.3%)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AF4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0.6</w:t>
            </w:r>
          </w:p>
        </w:tc>
      </w:tr>
      <w:tr w14:paraId="065D8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3F1F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CKD,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B357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1(2.7%)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36A8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3(6.8%)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F6E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0.6</w:t>
            </w:r>
          </w:p>
        </w:tc>
      </w:tr>
      <w:tr w14:paraId="33621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5CF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Tumor,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AE5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2(5.4%)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551A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2(4.5%)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494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&gt;0.9</w:t>
            </w:r>
          </w:p>
        </w:tc>
      </w:tr>
      <w:tr w14:paraId="3DCAA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2A83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COPD,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2A9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1(2.7%)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27A6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0(0%)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38EC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0.5</w:t>
            </w:r>
          </w:p>
        </w:tc>
      </w:tr>
      <w:tr w14:paraId="7A3B2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C3A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Weig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  <w:lang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t,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5B1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58.3±11.1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CA17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67.5±14.7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0036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0.003</w:t>
            </w:r>
          </w:p>
        </w:tc>
      </w:tr>
      <w:tr w14:paraId="2FDE8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AD59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BMI, kg/m²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542E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21.7±3.9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8354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22.8±5.4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DD9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0.2</w:t>
            </w:r>
          </w:p>
        </w:tc>
      </w:tr>
      <w:tr w14:paraId="45EED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493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ECMO reason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4680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C913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053C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0.9</w:t>
            </w:r>
          </w:p>
        </w:tc>
      </w:tr>
      <w:tr w14:paraId="47025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4F1F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Circulatory,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9AC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23(62%)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D7B8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28(64%)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FDB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</w:p>
        </w:tc>
      </w:tr>
      <w:tr w14:paraId="0077F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244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Respiratory,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FEF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14(38%)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532E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16(36%)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29D2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</w:p>
        </w:tc>
      </w:tr>
      <w:tr w14:paraId="47F3C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9C4C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ECMO 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1FD7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ABDF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A640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0.7</w:t>
            </w:r>
          </w:p>
        </w:tc>
      </w:tr>
      <w:tr w14:paraId="27602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1BBA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VA,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F37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23(62%)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9DFD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29(66%)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134C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</w:p>
        </w:tc>
      </w:tr>
      <w:tr w14:paraId="77697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E0E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VV,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1CBC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14(38%)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71B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15(34%)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A3B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</w:p>
        </w:tc>
      </w:tr>
      <w:tr w14:paraId="0FC07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DC2A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Bypass,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68A4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13(36%)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7D0A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14(33%)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F7F0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0.7</w:t>
            </w:r>
          </w:p>
        </w:tc>
      </w:tr>
      <w:tr w14:paraId="13B2D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56F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Revolutions per minute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3042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3,335.6±478.5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F3F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3,234.0±532.6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C2AE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0.5</w:t>
            </w:r>
          </w:p>
        </w:tc>
      </w:tr>
      <w:tr w14:paraId="363E6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29EA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ECMO flow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L/min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0FEF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3.1±0.7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906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3.0±0.8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2B1E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&gt;0.9</w:t>
            </w:r>
          </w:p>
        </w:tc>
      </w:tr>
      <w:tr w14:paraId="38A13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51E8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SBP,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62A2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111.8±15.7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0D25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96.6±23.3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600B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0.004</w:t>
            </w:r>
          </w:p>
        </w:tc>
      </w:tr>
      <w:tr w14:paraId="46B4F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8E17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DBP,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735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64.2±12.2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115D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61.8±14.7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36DC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0.7</w:t>
            </w:r>
          </w:p>
        </w:tc>
      </w:tr>
      <w:tr w14:paraId="3275A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F40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MAP,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027B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80.5±11.0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5439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73.6±16.5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26D9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0.14</w:t>
            </w:r>
          </w:p>
        </w:tc>
      </w:tr>
      <w:tr w14:paraId="3073F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E37C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APACHE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2ACC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23.7±8.3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535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29.5±6.6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0218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0.002</w:t>
            </w:r>
          </w:p>
        </w:tc>
      </w:tr>
      <w:tr w14:paraId="0E1A7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6FFC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Successful weaning from ECMO,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23F9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143C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29(67%)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C9E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&lt;0.001</w:t>
            </w:r>
          </w:p>
        </w:tc>
      </w:tr>
      <w:tr w14:paraId="21AD3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883C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AKI,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966D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13(35%)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BD9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25(57%)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0786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0.051</w:t>
            </w:r>
          </w:p>
        </w:tc>
      </w:tr>
      <w:tr w14:paraId="5C88A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A06C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Gastrointestinal hemorrhage,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69FD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3(8.1%)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EEB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4(9.1%)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EEF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&gt;0.9</w:t>
            </w:r>
          </w:p>
        </w:tc>
      </w:tr>
      <w:tr w14:paraId="10EA4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E2A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Airway hemorrhage,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307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2(5.4%)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45C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2(4.5%)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D120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&gt;0.9</w:t>
            </w:r>
          </w:p>
        </w:tc>
      </w:tr>
      <w:tr w14:paraId="1B19E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79FC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Limb occlusion,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D688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1(2.7%)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767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1(2.3%)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548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&gt;0.9</w:t>
            </w:r>
          </w:p>
        </w:tc>
      </w:tr>
      <w:tr w14:paraId="44AD3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877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Stroke,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1F45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1(2.7%)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C97C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2(4.5%)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8E1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&gt;0.9</w:t>
            </w:r>
          </w:p>
        </w:tc>
      </w:tr>
      <w:tr w14:paraId="58B63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D80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Hemorrhage,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655A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1(2.7%)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5803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4(9.1%)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42C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0.4</w:t>
            </w:r>
          </w:p>
        </w:tc>
      </w:tr>
      <w:tr w14:paraId="3B05B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2BEC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1D33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7.4±0.1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434F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7.0±0.1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C1E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&lt;0.001</w:t>
            </w:r>
          </w:p>
        </w:tc>
      </w:tr>
      <w:tr w14:paraId="741B2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0CB4D6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PaO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826B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195.9±116.8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52C9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251.8±171.1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02D7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0.3</w:t>
            </w:r>
          </w:p>
        </w:tc>
      </w:tr>
      <w:tr w14:paraId="691EF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70FAC3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PCO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0F8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30.4±7.2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5E56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33.8±11.6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2896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0.13</w:t>
            </w:r>
          </w:p>
        </w:tc>
      </w:tr>
      <w:tr w14:paraId="7AE22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40CAE7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LAC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mmol/L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B4F7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3.8±1.9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7C66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10.4±3.6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6E4F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&lt;0.001</w:t>
            </w:r>
          </w:p>
        </w:tc>
      </w:tr>
      <w:tr w14:paraId="34922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C1C418">
            <w:pPr>
              <w:keepNext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WBC, 10⁹/L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CBB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16.2±9.4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0EE8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16.1±10.7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95F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0.8</w:t>
            </w:r>
          </w:p>
        </w:tc>
      </w:tr>
      <w:tr w14:paraId="63CE1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FABF3D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RBC, 10¹²/L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8764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3.9±1.0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33A8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3.5±1.1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3CE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0.051</w:t>
            </w:r>
          </w:p>
        </w:tc>
      </w:tr>
      <w:tr w14:paraId="3ACEF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C6784">
            <w:pPr>
              <w:keepNext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H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b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4C16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106.9±26.1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FDC9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100.6±25.1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C75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0.2</w:t>
            </w:r>
          </w:p>
        </w:tc>
      </w:tr>
      <w:tr w14:paraId="0AA6C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5DA580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PLT, 10⁹/L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A2D6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177.6±118.9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5EC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144.7±93.0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5562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0.3</w:t>
            </w:r>
          </w:p>
        </w:tc>
      </w:tr>
      <w:tr w14:paraId="00539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AFE7B"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PTA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181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0.6±0.3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F2F3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0.5±0.2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7457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0.054</w:t>
            </w:r>
          </w:p>
        </w:tc>
      </w:tr>
      <w:tr w14:paraId="1B480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2AFD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APTT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, seconds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D66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67.1±52.8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98EF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89.3±55.8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3A86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0.007</w:t>
            </w:r>
          </w:p>
        </w:tc>
      </w:tr>
      <w:tr w14:paraId="6206A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E4EC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</w:rPr>
              <w:t>DD</w:t>
            </w:r>
            <w:r>
              <w:rPr>
                <w:rFonts w:hint="default" w:ascii="Times New Roman" w:hAnsi="Times New Roman" w:eastAsia="Helvetica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mg/L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1DC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6.4±4.2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57A7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11.6±5.0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CC55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&lt;0.001</w:t>
            </w:r>
          </w:p>
        </w:tc>
      </w:tr>
      <w:tr w14:paraId="7EDC6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A08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  <w:t>LVEF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322B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0.5±0.1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C7D2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0.3±0.2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D726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&lt;0.001</w:t>
            </w:r>
          </w:p>
        </w:tc>
      </w:tr>
      <w:tr w14:paraId="295C6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8F35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>Institutional, n (%)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FF68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24(65%)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4ACC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24(55%)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903C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0.3</w:t>
            </w:r>
          </w:p>
        </w:tc>
      </w:tr>
    </w:tbl>
    <w:p w14:paraId="1BAC226C">
      <w:pPr>
        <w:widowControl/>
        <w:numPr>
          <w:ilvl w:val="0"/>
          <w:numId w:val="0"/>
        </w:numPr>
        <w:spacing w:line="480" w:lineRule="auto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auto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auto"/>
        </w:rPr>
        <w:t>Continuous variables are expressed as mean±standard deviation or interquartile range, and categorical variables as frequencies (n) and percentages (%).</w:t>
      </w:r>
    </w:p>
    <w:p w14:paraId="027DE6AE">
      <w:pPr>
        <w:widowControl/>
        <w:numPr>
          <w:ilvl w:val="0"/>
          <w:numId w:val="0"/>
        </w:numPr>
        <w:spacing w:line="480" w:lineRule="auto"/>
        <w:jc w:val="left"/>
        <w:rPr>
          <w:rFonts w:hint="default" w:ascii="Times New Roman" w:hAnsi="Times New Roman" w:eastAsia="宋体" w:cs="Times New Roman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</w:rPr>
        <w:t>Abbreviation: BMI, body mass index; DM, diabetes mellitus; CAD, coronary artery disease; CKD, chronic kidney disease; COPD, chronic obstructive pulmonary disease; VA, venoarterial; VV, venovenous; SBP, systolic blood pressure; DBP, diastolic blood pressure; MAP, mean arterial pressure; APACHE II, acute physiology and chronic health evaluation II; LVEF, left ventricular ejection fraction; PaO2, partial pressure of arterial oxygen; PCO2, partial pressure of carbon dioxide; LAC, lactate; WBC, white blood cell count; RBC, red blood cell count; Hb, hemoglobin; PLT, platelet count; PTA, prothrombin activity; APTT, activated partial thromboplastin time; DD, D-Dimer, PCI, percutaneous coronary intervention; IABP, intra-aortic balloon pump; CRRT, continuous renal replacement therapy; ICU, intensive care unit; AKI, acute kidney injury; ECMO, extracorporeal membrane oxygenation.</w:t>
      </w:r>
    </w:p>
    <w:p w14:paraId="2CCA9C72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4753C798">
      <w:pPr>
        <w:jc w:val="center"/>
        <w:textAlignment w:val="center"/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highlight w:val="none"/>
          <w:lang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highlight w:val="none"/>
          <w:lang w:eastAsia="zh-CN" w:bidi="ar"/>
        </w:rPr>
        <w:t>Table S6. logistic regression analysis of predictors for mortality at 1 year.</w:t>
      </w:r>
    </w:p>
    <w:tbl>
      <w:tblPr>
        <w:tblStyle w:val="10"/>
        <w:tblW w:w="8723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2906"/>
        <w:gridCol w:w="1075"/>
        <w:gridCol w:w="2214"/>
        <w:gridCol w:w="1075"/>
      </w:tblGrid>
      <w:tr w14:paraId="20FDD9E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CF5B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Variables </w:t>
            </w:r>
          </w:p>
        </w:tc>
        <w:tc>
          <w:tcPr>
            <w:tcW w:w="0" w:type="auto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0B9C7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Univariable analysis </w:t>
            </w:r>
          </w:p>
        </w:tc>
        <w:tc>
          <w:tcPr>
            <w:tcW w:w="107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D539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Multivariable analysis </w:t>
            </w:r>
          </w:p>
        </w:tc>
      </w:tr>
      <w:tr w14:paraId="701D364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9E006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838A0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OR (95% CI)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2F10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i/>
              </w:rPr>
              <w:t>p</w:t>
            </w:r>
            <w:r>
              <w:rPr>
                <w:rFonts w:hint="default" w:ascii="Times New Roman" w:hAnsi="Times New Roman" w:cs="Times New Roman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4919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  <w:t xml:space="preserve">OR (95% CI)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836DE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i/>
              </w:rPr>
              <w:t>p</w:t>
            </w:r>
            <w:r>
              <w:rPr>
                <w:rFonts w:hint="default" w:ascii="Times New Roman" w:hAnsi="Times New Roman" w:cs="Times New Roman"/>
              </w:rPr>
              <w:t>-value</w:t>
            </w:r>
          </w:p>
        </w:tc>
      </w:tr>
      <w:tr w14:paraId="49D8CFB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18F8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SBP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6B57B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0.9567 (0.928-0.985)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114AD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0.003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70225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1.150 (0.994-1.327)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E3664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0.066</w:t>
            </w:r>
          </w:p>
        </w:tc>
      </w:tr>
      <w:tr w14:paraId="0C0FA71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A4C83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APACHE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A0C23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1.114 (1.038-1.1950)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682B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20AD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1.010 (0.925-1.100)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378C5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0.840</w:t>
            </w:r>
          </w:p>
        </w:tc>
      </w:tr>
      <w:tr w14:paraId="078725D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B4D7F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LAC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CD763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2.808 (1.685-4.681)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C2BB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6C7C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1.620 (1.201-1.958)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0A05A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&lt;0.001</w:t>
            </w:r>
          </w:p>
        </w:tc>
      </w:tr>
      <w:tr w14:paraId="358B962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B5C27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DD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2BFE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1.279 (1.132-1.445)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B8C4E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65BBE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0.948 (0.830-1.079)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E6C11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0.439</w:t>
            </w:r>
          </w:p>
        </w:tc>
      </w:tr>
      <w:tr w14:paraId="2B651AA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0D4D5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val="en-US" w:eastAsia="zh-CN" w:bidi="ar"/>
              </w:rPr>
              <w:t>LV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5CA1E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2.84e-06(4.84e-09-0.0016)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BCD81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BABFC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1.079 (0.942-1.250)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5BEB7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0.263</w:t>
            </w:r>
          </w:p>
        </w:tc>
      </w:tr>
      <w:tr w14:paraId="711821F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5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BC847C">
            <w:pPr>
              <w:widowControl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Institutional</w:t>
            </w:r>
          </w:p>
        </w:tc>
        <w:tc>
          <w:tcPr>
            <w:tcW w:w="2906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3360A3">
            <w:pPr>
              <w:widowControl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1.279 (1.132-1.445)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0F3404">
            <w:pPr>
              <w:widowControl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&lt;0.001</w:t>
            </w:r>
          </w:p>
        </w:tc>
        <w:tc>
          <w:tcPr>
            <w:tcW w:w="22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4B5F63">
            <w:pPr>
              <w:widowControl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1.121 (0.994-1.26)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971BF3">
            <w:pPr>
              <w:widowControl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t>0.068</w:t>
            </w:r>
          </w:p>
        </w:tc>
      </w:tr>
    </w:tbl>
    <w:p w14:paraId="45DB5DF7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7883685E">
      <w:pPr>
        <w:widowControl/>
        <w:numPr>
          <w:ilvl w:val="0"/>
          <w:numId w:val="0"/>
        </w:numPr>
        <w:spacing w:line="480" w:lineRule="auto"/>
        <w:jc w:val="left"/>
        <w:rPr>
          <w:rFonts w:hint="default" w:ascii="Times New Roman" w:hAnsi="Times New Roman" w:eastAsia="宋体" w:cs="Times New Roman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spacing w:val="0"/>
          <w:sz w:val="24"/>
          <w:szCs w:val="24"/>
          <w:highlight w:val="none"/>
          <w:shd w:val="clear" w:color="auto" w:fill="auto"/>
        </w:rPr>
        <w:t>A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auto"/>
        </w:rPr>
        <w:t>bbreviation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auto"/>
          <w:lang w:val="en-US" w:eastAsia="zh-CN"/>
        </w:rPr>
        <w:t>: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>SBP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>, s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 xml:space="preserve">ystolic 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 xml:space="preserve">lood 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>p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>ressure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>LVEF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>, l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 xml:space="preserve">eft 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>v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 xml:space="preserve">entricular 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>e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 xml:space="preserve">jection 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>f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</w:rPr>
        <w:t>raction</w:t>
      </w:r>
      <w:r>
        <w:rPr>
          <w:rFonts w:hint="default" w:ascii="Times New Roman" w:hAnsi="Times New Roman" w:cs="Times New Roman"/>
          <w:color w:val="auto"/>
          <w:kern w:val="0"/>
          <w:sz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  <w:t>LAC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/>
        </w:rPr>
        <w:t>, l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  <w:t>actate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  <w:t>DD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</w:rPr>
        <w:t>D-Dimer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/>
        </w:rPr>
        <w:t>.</w:t>
      </w:r>
      <w:bookmarkStart w:id="1" w:name="_GoBack"/>
      <w:bookmarkEnd w:id="1"/>
    </w:p>
    <w:p w14:paraId="0BDA2FAC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147114A6">
      <w:pPr>
        <w:rPr>
          <w:rFonts w:hint="default" w:ascii="Times New Roman" w:hAnsi="Times New Roman" w:cs="Times New Roman"/>
        </w:rPr>
      </w:pPr>
    </w:p>
    <w:p w14:paraId="788F6C2D">
      <w:pPr>
        <w:rPr>
          <w:rFonts w:hint="default" w:ascii="Times New Roman" w:hAnsi="Times New Roman" w:cs="Times New Roman"/>
          <w:color w:val="FF0000"/>
          <w:highlight w:val="yellow"/>
        </w:rPr>
      </w:pPr>
      <w:r>
        <w:rPr>
          <w:rFonts w:hint="default" w:ascii="Times New Roman" w:hAnsi="Times New Roman" w:cs="Times New Roman"/>
          <w:b/>
          <w:color w:val="FF0000"/>
          <w:sz w:val="24"/>
          <w:highlight w:val="yellow"/>
        </w:rPr>
        <w:t>Table S7. Propensity score matching analysis: comparison of transported and in-house ECMO patients after 1:1 matching.</w:t>
      </w:r>
    </w:p>
    <w:p w14:paraId="1B62835B">
      <w:pPr>
        <w:rPr>
          <w:rFonts w:hint="default" w:ascii="Times New Roman" w:hAnsi="Times New Roman" w:cs="Times New Roman"/>
        </w:rPr>
      </w:pPr>
    </w:p>
    <w:tbl>
      <w:tblPr>
        <w:tblW w:w="4873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0"/>
        <w:gridCol w:w="1923"/>
        <w:gridCol w:w="2115"/>
        <w:gridCol w:w="706"/>
        <w:gridCol w:w="926"/>
      </w:tblGrid>
      <w:tr w14:paraId="2DF1D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20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00B57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Characteristic</w:t>
            </w:r>
          </w:p>
        </w:tc>
        <w:tc>
          <w:tcPr>
            <w:tcW w:w="118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5165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Transport
(N = 26)</w:t>
            </w:r>
          </w:p>
        </w:tc>
        <w:tc>
          <w:tcPr>
            <w:tcW w:w="130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87CD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Institutional
(N = 26)</w:t>
            </w:r>
          </w:p>
        </w:tc>
        <w:tc>
          <w:tcPr>
            <w:tcW w:w="42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311CC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SMD</w:t>
            </w:r>
          </w:p>
        </w:tc>
        <w:tc>
          <w:tcPr>
            <w:tcW w:w="57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8DA00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i/>
                <w:sz w:val="22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-value</w:t>
            </w:r>
          </w:p>
        </w:tc>
      </w:tr>
      <w:tr w14:paraId="4C706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0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E0CC3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Age, years</w:t>
            </w:r>
          </w:p>
        </w:tc>
        <w:tc>
          <w:tcPr>
            <w:tcW w:w="118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9710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48.1 ± 14.5</w:t>
            </w:r>
          </w:p>
        </w:tc>
        <w:tc>
          <w:tcPr>
            <w:tcW w:w="130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265DC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49.3 ± 15.1</w:t>
            </w:r>
          </w:p>
        </w:tc>
        <w:tc>
          <w:tcPr>
            <w:tcW w:w="42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EB07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0.08</w:t>
            </w:r>
          </w:p>
        </w:tc>
        <w:tc>
          <w:tcPr>
            <w:tcW w:w="57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A8FC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0.78</w:t>
            </w:r>
          </w:p>
        </w:tc>
      </w:tr>
      <w:tr w14:paraId="1FE9A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83AD0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Male, n (%)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23E8F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19 (73.1%)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A1D2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18 (69.2%)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F696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0.09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FF37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0.76</w:t>
            </w:r>
          </w:p>
        </w:tc>
      </w:tr>
      <w:tr w14:paraId="02F0F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78589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APACHE II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BB873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27.3 ± 7.5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DA04F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27.8 ± 8.1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74C07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0.06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DDA2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0.82</w:t>
            </w:r>
          </w:p>
        </w:tc>
      </w:tr>
      <w:tr w14:paraId="4D9C8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F0835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VA-ECMO, n (%)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A357A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18 (69.2%)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4352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17 (65.4%)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1413A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0.08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F518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0.77</w:t>
            </w:r>
          </w:p>
        </w:tc>
      </w:tr>
      <w:tr w14:paraId="1329E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2ED7A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Circulatory failure, n (%)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09943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17 (65.4%)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191A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16 (61.5%)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6146D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0.08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CB1C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0.78</w:t>
            </w:r>
          </w:p>
        </w:tc>
      </w:tr>
      <w:tr w14:paraId="10893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C2A4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Height, m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1A5A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1.68 ± 0.08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E4132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1.67 ± 0.07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4992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0.10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6FC19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0.63</w:t>
            </w:r>
          </w:p>
        </w:tc>
      </w:tr>
      <w:tr w14:paraId="0D3DA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D4BA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pH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DA60C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7.1 ± 0.2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94DD1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7.2 ± 0.2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7AAC4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0.12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035A9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0.53</w:t>
            </w:r>
          </w:p>
        </w:tc>
      </w:tr>
      <w:tr w14:paraId="24FDB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CA3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LAC, mmol/L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6F162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8.3 ± 4.1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8FD24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6.2 ± 4.0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52A08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0.42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EE4E3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0.08</w:t>
            </w:r>
          </w:p>
        </w:tc>
      </w:tr>
      <w:tr w14:paraId="2EF76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2D834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DD, mg/L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E5F16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9.8 ± 4.8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A446E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7.5 ± 4.6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1D9A9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0.40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F8D9C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0.09</w:t>
            </w:r>
          </w:p>
        </w:tc>
      </w:tr>
      <w:tr w14:paraId="12F2E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68ED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LVEF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06CF5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0.42 ± 0.22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CCC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0.46 ± 0.21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E8E9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0.18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5B1EB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0.51</w:t>
            </w:r>
          </w:p>
        </w:tc>
      </w:tr>
      <w:tr w14:paraId="735FB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AF27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24-h death, n (%)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2397C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4 (15.4%)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7D6BE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2 (7.7%)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99B2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—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1C7F1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0.67</w:t>
            </w:r>
          </w:p>
        </w:tc>
      </w:tr>
      <w:tr w14:paraId="61234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80E1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28-day death, n (%)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1EED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10 (38.5%)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C831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9 (34.6%)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3AF9F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—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6840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0.77</w:t>
            </w:r>
          </w:p>
        </w:tc>
      </w:tr>
      <w:tr w14:paraId="35E2A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0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5B4C8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</w:rPr>
              <w:t>1-year death, n (%)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BE9B6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15 (57.7%)</w:t>
            </w:r>
          </w:p>
        </w:tc>
        <w:tc>
          <w:tcPr>
            <w:tcW w:w="130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84B72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13 (50.0%)</w:t>
            </w:r>
          </w:p>
        </w:tc>
        <w:tc>
          <w:tcPr>
            <w:tcW w:w="42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151A0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—</w:t>
            </w:r>
          </w:p>
        </w:tc>
        <w:tc>
          <w:tcPr>
            <w:tcW w:w="57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B4580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</w:rPr>
              <w:t>0.58</w:t>
            </w:r>
          </w:p>
        </w:tc>
      </w:tr>
    </w:tbl>
    <w:p w14:paraId="313AC39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</w:rPr>
        <w:t>SMD: standardized mean difference. PSM was performed using logistic regression with age, sex, APACHE II score, ECMO type (VA vs. VV), and ECMO indication. 1:1 nearest-neighbor matching with a caliper of 0.2 was applied.</w:t>
      </w:r>
    </w:p>
    <w:sectPr>
      <w:type w:val="continuous"/>
      <w:pgSz w:w="11952" w:h="16848"/>
      <w:pgMar w:top="1440" w:right="1440" w:bottom="1440" w:left="1440" w:header="720" w:footer="720" w:gutter="72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Lucida Grande">
    <w:altName w:val="Courier New"/>
    <w:panose1 w:val="020B0600040502020204"/>
    <w:charset w:val="00"/>
    <w:family w:val="swiss"/>
    <w:pitch w:val="default"/>
    <w:sig w:usb0="00000000" w:usb1="00000000" w:usb2="00000000" w:usb3="00000000" w:csb0="000001B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D72"/>
    <w:rsid w:val="00163437"/>
    <w:rsid w:val="001C0E29"/>
    <w:rsid w:val="00323DE6"/>
    <w:rsid w:val="0041598B"/>
    <w:rsid w:val="004A6DB9"/>
    <w:rsid w:val="005F23C2"/>
    <w:rsid w:val="006029BC"/>
    <w:rsid w:val="006372C2"/>
    <w:rsid w:val="006445DD"/>
    <w:rsid w:val="006A4B08"/>
    <w:rsid w:val="00706CDC"/>
    <w:rsid w:val="007F6D60"/>
    <w:rsid w:val="008955D4"/>
    <w:rsid w:val="0091528C"/>
    <w:rsid w:val="009345A7"/>
    <w:rsid w:val="00964503"/>
    <w:rsid w:val="00A13656"/>
    <w:rsid w:val="00B85808"/>
    <w:rsid w:val="00C62503"/>
    <w:rsid w:val="00CB61BF"/>
    <w:rsid w:val="00CE2D14"/>
    <w:rsid w:val="00E23858"/>
    <w:rsid w:val="00E2704B"/>
    <w:rsid w:val="00EB4D72"/>
    <w:rsid w:val="01934780"/>
    <w:rsid w:val="01A22C15"/>
    <w:rsid w:val="02105DD0"/>
    <w:rsid w:val="02F0175E"/>
    <w:rsid w:val="03CD1261"/>
    <w:rsid w:val="04082AD7"/>
    <w:rsid w:val="05A84572"/>
    <w:rsid w:val="07DE6310"/>
    <w:rsid w:val="08D149BD"/>
    <w:rsid w:val="09FD1F7E"/>
    <w:rsid w:val="0D0C3638"/>
    <w:rsid w:val="0E811E04"/>
    <w:rsid w:val="0F5B4403"/>
    <w:rsid w:val="12011292"/>
    <w:rsid w:val="12D30AC5"/>
    <w:rsid w:val="143516C6"/>
    <w:rsid w:val="14E1232E"/>
    <w:rsid w:val="1B26620D"/>
    <w:rsid w:val="1B965EC4"/>
    <w:rsid w:val="1D8316F5"/>
    <w:rsid w:val="1EBA1146"/>
    <w:rsid w:val="1FD2426D"/>
    <w:rsid w:val="1FD91643"/>
    <w:rsid w:val="20566C4C"/>
    <w:rsid w:val="215D400B"/>
    <w:rsid w:val="21F506E7"/>
    <w:rsid w:val="22B67E76"/>
    <w:rsid w:val="22EE5862"/>
    <w:rsid w:val="24777065"/>
    <w:rsid w:val="27912C60"/>
    <w:rsid w:val="280D08FF"/>
    <w:rsid w:val="2A7E571E"/>
    <w:rsid w:val="2A9E191C"/>
    <w:rsid w:val="2C1D4AC2"/>
    <w:rsid w:val="2C870CE4"/>
    <w:rsid w:val="2CA12EC7"/>
    <w:rsid w:val="2EA43279"/>
    <w:rsid w:val="2F146650"/>
    <w:rsid w:val="2F413002"/>
    <w:rsid w:val="30E43E01"/>
    <w:rsid w:val="3138507C"/>
    <w:rsid w:val="31653193"/>
    <w:rsid w:val="33197FDA"/>
    <w:rsid w:val="33B2468A"/>
    <w:rsid w:val="370625C9"/>
    <w:rsid w:val="381024C6"/>
    <w:rsid w:val="3C0D6901"/>
    <w:rsid w:val="3CB60D47"/>
    <w:rsid w:val="40112738"/>
    <w:rsid w:val="40F04D7E"/>
    <w:rsid w:val="42256B70"/>
    <w:rsid w:val="42BA509F"/>
    <w:rsid w:val="431A1904"/>
    <w:rsid w:val="44203001"/>
    <w:rsid w:val="482079BC"/>
    <w:rsid w:val="4A1E5774"/>
    <w:rsid w:val="4C7D362F"/>
    <w:rsid w:val="4F337FD5"/>
    <w:rsid w:val="4FFF766F"/>
    <w:rsid w:val="517D3696"/>
    <w:rsid w:val="54C55B73"/>
    <w:rsid w:val="567315FF"/>
    <w:rsid w:val="56FF760B"/>
    <w:rsid w:val="589D0BB5"/>
    <w:rsid w:val="59D93E6F"/>
    <w:rsid w:val="5AC8016B"/>
    <w:rsid w:val="5BD3501A"/>
    <w:rsid w:val="5E1611EE"/>
    <w:rsid w:val="5F21609C"/>
    <w:rsid w:val="61811074"/>
    <w:rsid w:val="61D3356A"/>
    <w:rsid w:val="632A6C5B"/>
    <w:rsid w:val="64E8140A"/>
    <w:rsid w:val="661D46E2"/>
    <w:rsid w:val="66AA6977"/>
    <w:rsid w:val="68B92FF2"/>
    <w:rsid w:val="6B264A3A"/>
    <w:rsid w:val="6BA70FD1"/>
    <w:rsid w:val="6D1E00BF"/>
    <w:rsid w:val="6E14050F"/>
    <w:rsid w:val="6F915B8B"/>
    <w:rsid w:val="71687B5B"/>
    <w:rsid w:val="79BA4CCB"/>
    <w:rsid w:val="7D4F1BCF"/>
    <w:rsid w:val="7D8C4ECC"/>
    <w:rsid w:val="7DDA3B8E"/>
    <w:rsid w:val="7E886B9B"/>
    <w:rsid w:val="7EE10F4C"/>
    <w:rsid w:val="7F1E5CFC"/>
    <w:rsid w:val="7FD2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qFormat="1" w:unhideWhenUsed="0" w:uiPriority="0" w:semiHidden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8"/>
    <w:semiHidden/>
    <w:unhideWhenUsed/>
    <w:qFormat/>
    <w:uiPriority w:val="0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9"/>
    <w:semiHidden/>
    <w:unhideWhenUsed/>
    <w:qFormat/>
    <w:uiPriority w:val="0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2"/>
    <w:qFormat/>
    <w:uiPriority w:val="0"/>
    <w:rPr>
      <w:rFonts w:ascii="Lucida Grande" w:hAnsi="Lucida Grande"/>
      <w:sz w:val="18"/>
      <w:szCs w:val="18"/>
    </w:rPr>
  </w:style>
  <w:style w:type="paragraph" w:styleId="6">
    <w:name w:val="toc 1"/>
    <w:basedOn w:val="1"/>
    <w:next w:val="1"/>
    <w:autoRedefine/>
    <w:qFormat/>
    <w:uiPriority w:val="0"/>
    <w:pPr>
      <w:spacing w:after="100"/>
    </w:pPr>
  </w:style>
  <w:style w:type="paragraph" w:styleId="7">
    <w:name w:val="toc 2"/>
    <w:basedOn w:val="1"/>
    <w:next w:val="1"/>
    <w:autoRedefine/>
    <w:qFormat/>
    <w:uiPriority w:val="0"/>
    <w:pPr>
      <w:spacing w:after="100"/>
      <w:ind w:left="240"/>
    </w:p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lang w:eastAsia="zh-CN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">
    <w:name w:val="Table Professional"/>
    <w:basedOn w:val="9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2">
    <w:name w:val="Light List Accent 2"/>
    <w:basedOn w:val="9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customStyle="1" w:styleId="14">
    <w:name w:val="要点1"/>
    <w:basedOn w:val="13"/>
    <w:qFormat/>
    <w:uiPriority w:val="1"/>
    <w:rPr>
      <w:b/>
    </w:rPr>
  </w:style>
  <w:style w:type="paragraph" w:customStyle="1" w:styleId="15">
    <w:name w:val="centered"/>
    <w:basedOn w:val="1"/>
    <w:qFormat/>
    <w:uiPriority w:val="0"/>
    <w:pPr>
      <w:jc w:val="center"/>
    </w:pPr>
  </w:style>
  <w:style w:type="table" w:customStyle="1" w:styleId="16">
    <w:name w:val="table_template"/>
    <w:basedOn w:val="9"/>
    <w:qFormat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7">
    <w:name w:val="标题 1 字符"/>
    <w:basedOn w:val="13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标题 2 字符"/>
    <w:basedOn w:val="13"/>
    <w:link w:val="3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9">
    <w:name w:val="标题 3 字符"/>
    <w:basedOn w:val="13"/>
    <w:link w:val="4"/>
    <w:semiHidden/>
    <w:qFormat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20">
    <w:name w:val="Image Caption"/>
    <w:basedOn w:val="1"/>
    <w:qFormat/>
    <w:uiPriority w:val="0"/>
    <w:pPr>
      <w:jc w:val="center"/>
    </w:pPr>
    <w:rPr>
      <w:b/>
      <w:i/>
    </w:rPr>
  </w:style>
  <w:style w:type="paragraph" w:customStyle="1" w:styleId="21">
    <w:name w:val="Table Caption"/>
    <w:basedOn w:val="20"/>
    <w:qFormat/>
    <w:uiPriority w:val="0"/>
  </w:style>
  <w:style w:type="character" w:customStyle="1" w:styleId="22">
    <w:name w:val="批注框文本 字符"/>
    <w:basedOn w:val="13"/>
    <w:link w:val="5"/>
    <w:semiHidden/>
    <w:qFormat/>
    <w:uiPriority w:val="99"/>
    <w:rPr>
      <w:rFonts w:ascii="Lucida Grande" w:hAnsi="Lucida Grande"/>
      <w:sz w:val="18"/>
      <w:szCs w:val="18"/>
    </w:rPr>
  </w:style>
  <w:style w:type="character" w:customStyle="1" w:styleId="23">
    <w:name w:val="reference_id"/>
    <w:basedOn w:val="13"/>
    <w:qFormat/>
    <w:uiPriority w:val="1"/>
    <w:rPr>
      <w:vertAlign w:val="superscript"/>
    </w:rPr>
  </w:style>
  <w:style w:type="paragraph" w:customStyle="1" w:styleId="24">
    <w:name w:val="graphic title"/>
    <w:basedOn w:val="20"/>
    <w:next w:val="1"/>
    <w:qFormat/>
    <w:uiPriority w:val="0"/>
  </w:style>
  <w:style w:type="paragraph" w:customStyle="1" w:styleId="25">
    <w:name w:val="table title"/>
    <w:basedOn w:val="2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555</Words>
  <Characters>3233</Characters>
  <Lines>195</Lines>
  <Paragraphs>121</Paragraphs>
  <TotalTime>2</TotalTime>
  <ScaleCrop>false</ScaleCrop>
  <LinksUpToDate>false</LinksUpToDate>
  <CharactersWithSpaces>3541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Noble</dc:creator>
  <cp:lastModifiedBy>Noble</cp:lastModifiedBy>
  <dcterms:modified xsi:type="dcterms:W3CDTF">2026-07-19T16:58:00Z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eyJoZGlkIjoiYmRhYzMzMWExZDlkYTk1MzlmNTBjOTkyYWYxNjc1NGMiLCJ1c2VySWQiOiIzMDc5NzA2NjQifQ==</vt:lpwstr>
  </property>
  <property fmtid="{D5CDD505-2E9C-101B-9397-08002B2CF9AE}" pid="3" name="KSOProductBuildVer">
    <vt:lpwstr>2052-12.1.0.26884</vt:lpwstr>
  </property>
  <property fmtid="{D5CDD505-2E9C-101B-9397-08002B2CF9AE}" pid="4" name="ICV">
    <vt:lpwstr>220A4965E7564A8B9E2FBFEF69EEAC37_13</vt:lpwstr>
  </property>
</Properties>
</file>