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OLE_LINK5"/>
      <w:r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bookmarkEnd w:id="0"/>
    <w:p>
      <w:pPr>
        <w:spacing w:line="360" w:lineRule="auto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hint="eastAsia" w:ascii="Times New Roman" w:hAnsi="Times New Roman" w:cs="Times New Roman"/>
          <w:b/>
          <w:iCs/>
          <w:sz w:val="24"/>
          <w:szCs w:val="24"/>
        </w:rPr>
        <w:t>R</w:t>
      </w:r>
      <w:r>
        <w:rPr>
          <w:rFonts w:ascii="Times New Roman" w:hAnsi="Times New Roman" w:cs="Times New Roman"/>
          <w:b/>
          <w:iCs/>
          <w:sz w:val="24"/>
          <w:szCs w:val="24"/>
        </w:rPr>
        <w:t>eagents</w:t>
      </w:r>
    </w:p>
    <w:p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Rd and Rb1 (purity&gt;98%) were purchased from Chengdu Must Biotech (Chengdu, China). 3-Methyladenine (3-MA) w</w:t>
      </w:r>
      <w:r>
        <w:rPr>
          <w:rFonts w:hint="eastAsia"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purchased from InvivoGen (San Diego, CA, USA).</w:t>
      </w:r>
    </w:p>
    <w:p>
      <w:pPr>
        <w:spacing w:line="360" w:lineRule="auto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Cells and transfection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A549 (ATCC, CCL-185), B16 (ATCC, CRL-6475) cells were cultured in DMEM supplemented with 10% fetal bovine serum (FBS) at 37°C in a 5%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environment.</w:t>
      </w:r>
    </w:p>
    <w:p>
      <w:pPr>
        <w:spacing w:line="360" w:lineRule="auto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Cell cycle measurement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Cells were fixed with chilled 70% ethanol and stored at −20°C overnight. The next day, the cells were stained with PI for 30 min before flow cytometry. Samples were analyzed by Flow Cytometer and software FlowJo.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C60DD"/>
    <w:rsid w:val="749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2020-10-23T08:55:00Z</dcterms:created>
  <dc:creator>边帅</dc:creator>
  <cp:lastModifiedBy>边帅</cp:lastModifiedBy>
  <dcterms:modified xsi:type="dcterms:W3CDTF">2020-10-23T09:00:19Z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