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44FC6" w14:textId="602CF63B" w:rsidR="00F1090C" w:rsidRPr="00F1090C" w:rsidRDefault="002A648B" w:rsidP="00F1090C">
      <w:pPr>
        <w:widowControl/>
        <w:adjustRightInd w:val="0"/>
        <w:snapToGrid w:val="0"/>
        <w:spacing w:line="480" w:lineRule="auto"/>
        <w:rPr>
          <w:b/>
          <w:bCs/>
          <w:color w:val="FF0000"/>
        </w:rPr>
      </w:pPr>
      <w:bookmarkStart w:id="0" w:name="_GoBack"/>
      <w:bookmarkEnd w:id="0"/>
      <w:r>
        <w:rPr>
          <w:b/>
          <w:bCs/>
          <w:color w:val="FF0000"/>
        </w:rPr>
        <w:t>Additional</w:t>
      </w:r>
      <w:r w:rsidR="00F1090C" w:rsidRPr="00F1090C">
        <w:rPr>
          <w:b/>
          <w:bCs/>
          <w:color w:val="FF0000"/>
        </w:rPr>
        <w:t xml:space="preserve"> data</w:t>
      </w:r>
    </w:p>
    <w:p w14:paraId="44EB5138" w14:textId="0A2825E9" w:rsidR="00F1090C" w:rsidRPr="00F1090C" w:rsidRDefault="00F1090C" w:rsidP="00F1090C">
      <w:pPr>
        <w:widowControl/>
        <w:adjustRightInd w:val="0"/>
        <w:snapToGrid w:val="0"/>
        <w:spacing w:line="480" w:lineRule="auto"/>
        <w:rPr>
          <w:b/>
          <w:bCs/>
          <w:color w:val="FF0000"/>
        </w:rPr>
      </w:pPr>
      <w:r w:rsidRPr="00F1090C">
        <w:rPr>
          <w:b/>
          <w:bCs/>
          <w:color w:val="FF0000"/>
        </w:rPr>
        <w:t>1. Effect of SF on Th1 and Th2 cells in the spleen of CIA mice.</w:t>
      </w:r>
    </w:p>
    <w:p w14:paraId="1697F3C9" w14:textId="300F621B" w:rsidR="00F1090C" w:rsidRPr="00F1090C" w:rsidRDefault="00F1090C" w:rsidP="00F1090C">
      <w:pPr>
        <w:adjustRightInd w:val="0"/>
        <w:snapToGrid w:val="0"/>
        <w:spacing w:line="480" w:lineRule="auto"/>
        <w:rPr>
          <w:color w:val="FF0000"/>
        </w:rPr>
      </w:pPr>
      <w:r w:rsidRPr="00F1090C">
        <w:rPr>
          <w:color w:val="FF0000"/>
        </w:rPr>
        <w:t>After oral administration of SF for 30 d, all mice were sacrificed, and the spleen extracted, mashed and washed with phosphate-buffered saline (PBS). For intracellular IFN-γ and IL-4 staining (all from Invitrogen), the splenocytes were stimulated with a leukocyte activation cocktail for 5 h. Next, cells were stained with surface FITC-conjugated anti-CD4 antibody. After fixation and permeabilization, cells were stained with PE-cy7–conjugated anti–IFN-γ or APC–conjugated anti-IL-4 antibodies. Finally, the cells were analyzed via flow cytometry (BD Biosciences, Franklin Lakes, NJ, USA). Flow Jo v10 was used to further analyze the levels of Treg and Th17 cells.</w:t>
      </w:r>
    </w:p>
    <w:p w14:paraId="5AC0DBDB" w14:textId="5E70293B" w:rsidR="00F1090C" w:rsidRPr="00F1090C" w:rsidRDefault="00F1090C" w:rsidP="00F1090C">
      <w:pPr>
        <w:rPr>
          <w:color w:val="auto"/>
        </w:rPr>
      </w:pPr>
    </w:p>
    <w:p w14:paraId="15B54F78" w14:textId="77777777" w:rsidR="00F1090C" w:rsidRDefault="00F1090C" w:rsidP="00F1090C">
      <w:pPr>
        <w:adjustRightInd w:val="0"/>
        <w:snapToGrid w:val="0"/>
        <w:spacing w:line="480" w:lineRule="auto"/>
        <w:rPr>
          <w:iCs/>
          <w:color w:val="auto"/>
        </w:rPr>
      </w:pPr>
      <w:r>
        <w:rPr>
          <w:iCs/>
          <w:noProof/>
          <w:color w:val="auto"/>
          <w:lang w:eastAsia="en-US"/>
        </w:rPr>
        <w:drawing>
          <wp:inline distT="0" distB="0" distL="0" distR="0" wp14:anchorId="5BF9B168" wp14:editId="1517CA2F">
            <wp:extent cx="5274310" cy="421894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6697C" w14:textId="4C7BAFC9" w:rsidR="00F1090C" w:rsidRPr="00A90577" w:rsidRDefault="00F1090C" w:rsidP="00F1090C">
      <w:pPr>
        <w:spacing w:line="480" w:lineRule="auto"/>
        <w:rPr>
          <w:color w:val="FF0000"/>
        </w:rPr>
      </w:pPr>
      <w:r w:rsidRPr="006763A6">
        <w:rPr>
          <w:b/>
          <w:bCs/>
          <w:color w:val="FF0000"/>
        </w:rPr>
        <w:t xml:space="preserve">Figure </w:t>
      </w:r>
      <w:r w:rsidR="002A648B">
        <w:rPr>
          <w:b/>
          <w:bCs/>
          <w:color w:val="FF0000"/>
        </w:rPr>
        <w:t>S</w:t>
      </w:r>
      <w:r w:rsidRPr="006763A6">
        <w:rPr>
          <w:b/>
          <w:bCs/>
          <w:color w:val="FF0000"/>
        </w:rPr>
        <w:t>1</w:t>
      </w:r>
      <w:r w:rsidRPr="00A90577">
        <w:rPr>
          <w:color w:val="FF0000"/>
        </w:rPr>
        <w:t xml:space="preserve"> </w:t>
      </w:r>
      <w:r w:rsidRPr="00F1090C">
        <w:rPr>
          <w:b/>
          <w:bCs/>
          <w:color w:val="FF0000"/>
        </w:rPr>
        <w:t>Effect of SF on Th1 and Th2 cells in the spleen of CIA mice.</w:t>
      </w:r>
      <w:r w:rsidRPr="00A90577">
        <w:rPr>
          <w:color w:val="FF0000"/>
        </w:rPr>
        <w:t xml:space="preserve"> </w:t>
      </w:r>
      <w:r w:rsidRPr="00A90577">
        <w:rPr>
          <w:b/>
          <w:bCs/>
          <w:color w:val="FF0000"/>
        </w:rPr>
        <w:t>A</w:t>
      </w:r>
      <w:r w:rsidRPr="00A90577">
        <w:rPr>
          <w:color w:val="FF0000"/>
        </w:rPr>
        <w:t xml:space="preserve"> Representative image of Th1 cell in spleen after one-month administration. </w:t>
      </w:r>
      <w:r w:rsidRPr="00A90577">
        <w:rPr>
          <w:b/>
          <w:bCs/>
          <w:color w:val="FF0000"/>
        </w:rPr>
        <w:t>B</w:t>
      </w:r>
      <w:r w:rsidRPr="00A90577">
        <w:rPr>
          <w:color w:val="FF0000"/>
        </w:rPr>
        <w:t xml:space="preserve"> Representative image of Th2 cell in spleen after one-month administration. </w:t>
      </w:r>
      <w:r w:rsidRPr="00A90577">
        <w:rPr>
          <w:b/>
          <w:bCs/>
          <w:color w:val="FF0000"/>
        </w:rPr>
        <w:t>C</w:t>
      </w:r>
      <w:r w:rsidRPr="00A90577">
        <w:rPr>
          <w:color w:val="FF0000"/>
        </w:rPr>
        <w:t xml:space="preserve"> Proportion of Th1 and Th2 cells and ratio of Th1/Th2 in the spleen of each group of mice (n=5). One-way ANOVA and post hoc Dunnett’s </w:t>
      </w:r>
      <w:r w:rsidRPr="00A90577">
        <w:rPr>
          <w:color w:val="FF0000"/>
        </w:rPr>
        <w:lastRenderedPageBreak/>
        <w:t xml:space="preserve">test were performed between multiple groups. </w:t>
      </w:r>
      <w:r w:rsidRPr="00A90577">
        <w:rPr>
          <w:color w:val="FF0000"/>
          <w:vertAlign w:val="superscript"/>
        </w:rPr>
        <w:t>##</w:t>
      </w:r>
      <w:r w:rsidRPr="00A90577">
        <w:rPr>
          <w:color w:val="FF0000"/>
        </w:rPr>
        <w:t>p&lt;0.01, compared with Normal group</w:t>
      </w:r>
      <w:r>
        <w:rPr>
          <w:color w:val="FF0000"/>
        </w:rPr>
        <w:t>.</w:t>
      </w:r>
    </w:p>
    <w:p w14:paraId="657D407E" w14:textId="77777777" w:rsidR="009D181C" w:rsidRDefault="009D181C"/>
    <w:sectPr w:rsidR="009D18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597CF" w14:textId="77777777" w:rsidR="00D7550B" w:rsidRDefault="00D7550B" w:rsidP="00F1090C">
      <w:r>
        <w:separator/>
      </w:r>
    </w:p>
  </w:endnote>
  <w:endnote w:type="continuationSeparator" w:id="0">
    <w:p w14:paraId="68CD0A9E" w14:textId="77777777" w:rsidR="00D7550B" w:rsidRDefault="00D7550B" w:rsidP="00F1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81354" w14:textId="77777777" w:rsidR="00D7550B" w:rsidRDefault="00D7550B" w:rsidP="00F1090C">
      <w:r>
        <w:separator/>
      </w:r>
    </w:p>
  </w:footnote>
  <w:footnote w:type="continuationSeparator" w:id="0">
    <w:p w14:paraId="5F739BAF" w14:textId="77777777" w:rsidR="00D7550B" w:rsidRDefault="00D7550B" w:rsidP="00F10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5C"/>
    <w:rsid w:val="001F175C"/>
    <w:rsid w:val="002A648B"/>
    <w:rsid w:val="00835D3F"/>
    <w:rsid w:val="009D181C"/>
    <w:rsid w:val="00A64A44"/>
    <w:rsid w:val="00D7550B"/>
    <w:rsid w:val="00F1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A399E4"/>
  <w15:chartTrackingRefBased/>
  <w15:docId w15:val="{968710CA-29F6-4038-80F5-284F791E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90C"/>
    <w:pPr>
      <w:widowControl w:val="0"/>
      <w:jc w:val="both"/>
    </w:pPr>
    <w:rPr>
      <w:rFonts w:ascii="Times New Roman" w:eastAsia="SimSun" w:hAnsi="Times New Roman" w:cs="Times New Roman"/>
      <w:color w:val="000000"/>
      <w:szCs w:val="21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9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1090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1090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1090C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1090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迪</dc:creator>
  <cp:keywords/>
  <dc:description/>
  <cp:lastModifiedBy>Rajeshwari A.</cp:lastModifiedBy>
  <cp:revision>4</cp:revision>
  <dcterms:created xsi:type="dcterms:W3CDTF">2021-04-30T05:54:00Z</dcterms:created>
  <dcterms:modified xsi:type="dcterms:W3CDTF">2021-05-04T09:39:00Z</dcterms:modified>
</cp:coreProperties>
</file>