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86AF6" w14:textId="6D2EFE51" w:rsidR="006D17DA" w:rsidRPr="00241917" w:rsidRDefault="00241917" w:rsidP="00905462">
      <w:pPr>
        <w:pStyle w:val="SupplementaryMaterial"/>
        <w:spacing w:line="360" w:lineRule="auto"/>
        <w:ind w:firstLine="480"/>
        <w:jc w:val="both"/>
        <w:rPr>
          <w:b w:val="0"/>
          <w:i w:val="0"/>
          <w:color w:val="000000" w:themeColor="text1"/>
        </w:rPr>
      </w:pPr>
      <w:r w:rsidRPr="00241917">
        <w:rPr>
          <w:i w:val="0"/>
          <w:color w:val="000000" w:themeColor="text1"/>
        </w:rPr>
        <w:t>Additional file</w:t>
      </w:r>
    </w:p>
    <w:p w14:paraId="2B24813A" w14:textId="1ACA714F" w:rsidR="006D17DA" w:rsidRPr="00241917" w:rsidRDefault="006D17DA" w:rsidP="00905462">
      <w:pPr>
        <w:ind w:firstLineChars="0" w:firstLine="0"/>
        <w:rPr>
          <w:b/>
          <w:color w:val="000000" w:themeColor="text1"/>
          <w:szCs w:val="24"/>
        </w:rPr>
      </w:pPr>
      <w:r w:rsidRPr="00241917">
        <w:rPr>
          <w:b/>
          <w:color w:val="000000" w:themeColor="text1"/>
          <w:szCs w:val="24"/>
        </w:rPr>
        <w:t>List of</w:t>
      </w:r>
      <w:r w:rsidR="00241917" w:rsidRPr="00241917">
        <w:rPr>
          <w:b/>
          <w:color w:val="000000" w:themeColor="text1"/>
          <w:szCs w:val="24"/>
        </w:rPr>
        <w:t xml:space="preserve"> </w:t>
      </w:r>
      <w:r w:rsidR="00241917" w:rsidRPr="00241917">
        <w:rPr>
          <w:color w:val="000000" w:themeColor="text1"/>
        </w:rPr>
        <w:t>Additional file</w:t>
      </w:r>
    </w:p>
    <w:p w14:paraId="1B145444" w14:textId="17AE6B3A" w:rsidR="006D17DA" w:rsidRPr="00241917" w:rsidRDefault="00241917" w:rsidP="00905462">
      <w:pPr>
        <w:widowControl/>
        <w:ind w:firstLineChars="0" w:firstLine="0"/>
        <w:rPr>
          <w:rFonts w:cs="Times New Roman"/>
          <w:color w:val="000000" w:themeColor="text1"/>
          <w:kern w:val="0"/>
          <w:szCs w:val="24"/>
        </w:rPr>
      </w:pPr>
      <w:r w:rsidRPr="00241917">
        <w:rPr>
          <w:rFonts w:cs="Times New Roman"/>
          <w:color w:val="000000" w:themeColor="text1"/>
          <w:kern w:val="0"/>
          <w:szCs w:val="24"/>
        </w:rPr>
        <w:t xml:space="preserve">Additional file 1: </w:t>
      </w:r>
      <w:r w:rsidR="006D17DA" w:rsidRPr="00241917">
        <w:rPr>
          <w:rFonts w:cs="Times New Roman"/>
          <w:color w:val="000000" w:themeColor="text1"/>
          <w:kern w:val="0"/>
          <w:szCs w:val="24"/>
        </w:rPr>
        <w:t xml:space="preserve">Table S1. Detailed </w:t>
      </w:r>
      <w:bookmarkStart w:id="0" w:name="_GoBack"/>
      <w:bookmarkEnd w:id="0"/>
      <w:r w:rsidR="006D17DA" w:rsidRPr="00241917">
        <w:rPr>
          <w:rFonts w:cs="Times New Roman"/>
          <w:color w:val="000000" w:themeColor="text1"/>
          <w:kern w:val="0"/>
          <w:szCs w:val="24"/>
        </w:rPr>
        <w:t>information of antibodies to CD31, VEGF</w:t>
      </w:r>
      <w:r w:rsidR="001A054D" w:rsidRPr="00241917">
        <w:rPr>
          <w:rFonts w:cs="Times New Roman"/>
          <w:color w:val="000000" w:themeColor="text1"/>
          <w:kern w:val="0"/>
          <w:szCs w:val="24"/>
        </w:rPr>
        <w:t>A</w:t>
      </w:r>
      <w:r w:rsidR="006D17DA" w:rsidRPr="00241917">
        <w:rPr>
          <w:rFonts w:cs="Times New Roman"/>
          <w:color w:val="000000" w:themeColor="text1"/>
          <w:kern w:val="0"/>
          <w:szCs w:val="24"/>
        </w:rPr>
        <w:t>, VEGFR2, SRC, PI3K, AKT1, p-VEGFR2, p-SRC, p-PI3K, p-AKT and GAPDH proteins</w:t>
      </w:r>
    </w:p>
    <w:p w14:paraId="4839B148" w14:textId="69236204" w:rsidR="00587209" w:rsidRPr="00241917" w:rsidRDefault="00241917" w:rsidP="00905462">
      <w:pPr>
        <w:widowControl/>
        <w:ind w:firstLineChars="0" w:firstLine="0"/>
        <w:rPr>
          <w:rFonts w:cs="Times New Roman"/>
          <w:color w:val="000000" w:themeColor="text1"/>
          <w:kern w:val="0"/>
          <w:szCs w:val="24"/>
        </w:rPr>
      </w:pPr>
      <w:r w:rsidRPr="00241917">
        <w:rPr>
          <w:rFonts w:cs="Times New Roman"/>
          <w:color w:val="000000" w:themeColor="text1"/>
          <w:kern w:val="0"/>
          <w:szCs w:val="24"/>
        </w:rPr>
        <w:t>Additional file 1</w:t>
      </w:r>
      <w:r w:rsidRPr="00241917">
        <w:rPr>
          <w:rFonts w:cs="Times New Roman"/>
          <w:color w:val="000000" w:themeColor="text1"/>
          <w:kern w:val="0"/>
          <w:szCs w:val="24"/>
        </w:rPr>
        <w:t xml:space="preserve">: </w:t>
      </w:r>
      <w:r w:rsidR="00587209" w:rsidRPr="00241917">
        <w:rPr>
          <w:rFonts w:cs="Times New Roman"/>
          <w:color w:val="000000" w:themeColor="text1"/>
          <w:kern w:val="0"/>
          <w:szCs w:val="24"/>
        </w:rPr>
        <w:t>Table S2. Detailed information of docking parameters, the binding sites and patterns of the active components with target proteins for molecular docking of MG with SRC, eNOS, VEGFR2</w:t>
      </w:r>
      <w:r w:rsidR="00587209" w:rsidRPr="00241917">
        <w:rPr>
          <w:rFonts w:cs="Times New Roman" w:hint="eastAsia"/>
          <w:color w:val="000000" w:themeColor="text1"/>
          <w:kern w:val="0"/>
          <w:szCs w:val="24"/>
        </w:rPr>
        <w:t>,</w:t>
      </w:r>
      <w:r w:rsidR="00587209" w:rsidRPr="00241917">
        <w:rPr>
          <w:rFonts w:cs="Times New Roman"/>
          <w:color w:val="000000" w:themeColor="text1"/>
          <w:kern w:val="0"/>
          <w:szCs w:val="24"/>
        </w:rPr>
        <w:t xml:space="preserve"> as well GA with eNOS, AKT1 and PI3K</w:t>
      </w:r>
    </w:p>
    <w:p w14:paraId="6ECF2195" w14:textId="4F99EEA8" w:rsidR="00CB08EB" w:rsidRPr="00241917" w:rsidRDefault="008D6EF2" w:rsidP="00905462">
      <w:pPr>
        <w:widowControl/>
        <w:ind w:firstLineChars="0" w:firstLine="0"/>
        <w:rPr>
          <w:rFonts w:cs="Times New Roman"/>
          <w:color w:val="000000" w:themeColor="text1"/>
          <w:kern w:val="0"/>
          <w:szCs w:val="24"/>
        </w:rPr>
      </w:pPr>
      <w:r w:rsidRPr="00241917">
        <w:rPr>
          <w:rFonts w:cs="Times New Roman"/>
          <w:color w:val="000000" w:themeColor="text1"/>
          <w:kern w:val="0"/>
          <w:szCs w:val="24"/>
        </w:rPr>
        <w:t xml:space="preserve">Section </w:t>
      </w:r>
      <w:r w:rsidR="00845D74" w:rsidRPr="00241917">
        <w:rPr>
          <w:rFonts w:cs="Times New Roman"/>
          <w:color w:val="000000" w:themeColor="text1"/>
          <w:kern w:val="0"/>
          <w:szCs w:val="24"/>
        </w:rPr>
        <w:t>1</w:t>
      </w:r>
      <w:r w:rsidRPr="00241917">
        <w:rPr>
          <w:rFonts w:cs="Times New Roman"/>
          <w:color w:val="000000" w:themeColor="text1"/>
          <w:kern w:val="0"/>
          <w:szCs w:val="24"/>
        </w:rPr>
        <w:t xml:space="preserve">. </w:t>
      </w:r>
      <w:r w:rsidR="00CB08EB" w:rsidRPr="00241917">
        <w:rPr>
          <w:rFonts w:cs="Times New Roman"/>
          <w:color w:val="000000" w:themeColor="text1"/>
          <w:kern w:val="0"/>
          <w:szCs w:val="24"/>
        </w:rPr>
        <w:t>Severity assessment of arthritis</w:t>
      </w:r>
    </w:p>
    <w:p w14:paraId="1FAFCBCA" w14:textId="052C57FA" w:rsidR="008D6EF2" w:rsidRPr="00241917" w:rsidRDefault="00CB08EB" w:rsidP="00905462">
      <w:pPr>
        <w:widowControl/>
        <w:ind w:firstLineChars="0" w:firstLine="0"/>
        <w:rPr>
          <w:rFonts w:cs="Times New Roman"/>
          <w:color w:val="000000" w:themeColor="text1"/>
          <w:kern w:val="0"/>
          <w:szCs w:val="24"/>
        </w:rPr>
      </w:pPr>
      <w:r w:rsidRPr="00241917">
        <w:rPr>
          <w:rFonts w:cs="Times New Roman"/>
          <w:color w:val="000000" w:themeColor="text1"/>
          <w:kern w:val="0"/>
          <w:szCs w:val="24"/>
        </w:rPr>
        <w:t xml:space="preserve">Section 2. </w:t>
      </w:r>
      <w:r w:rsidR="00A905E9" w:rsidRPr="00241917">
        <w:rPr>
          <w:rFonts w:cs="Times New Roman"/>
          <w:color w:val="000000" w:themeColor="text1"/>
          <w:kern w:val="0"/>
          <w:szCs w:val="24"/>
        </w:rPr>
        <w:t>The mean plasma concentration-time profiles of MG and GA from time 0 to 24 h after 21.4 g/kg BHGZD treatment</w:t>
      </w:r>
    </w:p>
    <w:p w14:paraId="09170EA0" w14:textId="20B3FC67" w:rsidR="00845D74" w:rsidRPr="00241917" w:rsidRDefault="00845D74" w:rsidP="00845D74">
      <w:pPr>
        <w:widowControl/>
        <w:ind w:firstLineChars="0" w:firstLine="0"/>
        <w:rPr>
          <w:rFonts w:cs="Times New Roman"/>
          <w:color w:val="000000" w:themeColor="text1"/>
          <w:kern w:val="0"/>
          <w:szCs w:val="24"/>
        </w:rPr>
      </w:pPr>
      <w:r w:rsidRPr="00241917">
        <w:rPr>
          <w:rFonts w:cs="Times New Roman"/>
          <w:color w:val="000000" w:themeColor="text1"/>
          <w:kern w:val="0"/>
          <w:szCs w:val="24"/>
        </w:rPr>
        <w:t xml:space="preserve">Section </w:t>
      </w:r>
      <w:r w:rsidR="00CB08EB" w:rsidRPr="00241917">
        <w:rPr>
          <w:rFonts w:cs="Times New Roman"/>
          <w:color w:val="000000" w:themeColor="text1"/>
          <w:kern w:val="0"/>
          <w:szCs w:val="24"/>
        </w:rPr>
        <w:t>3</w:t>
      </w:r>
      <w:r w:rsidRPr="00241917">
        <w:rPr>
          <w:rFonts w:cs="Times New Roman"/>
          <w:color w:val="000000" w:themeColor="text1"/>
          <w:kern w:val="0"/>
          <w:szCs w:val="24"/>
        </w:rPr>
        <w:t>. Macroscopic evidence of arthritis in different groups</w:t>
      </w:r>
    </w:p>
    <w:p w14:paraId="23D6B6DB" w14:textId="77777777" w:rsidR="00845D74" w:rsidRPr="00241917" w:rsidRDefault="00845D74" w:rsidP="00905462">
      <w:pPr>
        <w:widowControl/>
        <w:ind w:firstLineChars="0" w:firstLine="0"/>
        <w:rPr>
          <w:rFonts w:cs="Times New Roman"/>
          <w:color w:val="000000" w:themeColor="text1"/>
          <w:kern w:val="0"/>
          <w:szCs w:val="24"/>
        </w:rPr>
      </w:pPr>
    </w:p>
    <w:p w14:paraId="552C021E" w14:textId="490FA77A" w:rsidR="008D6EF2" w:rsidRPr="00241917" w:rsidRDefault="008D6EF2" w:rsidP="00905462">
      <w:pPr>
        <w:widowControl/>
        <w:ind w:firstLineChars="0" w:firstLine="0"/>
        <w:rPr>
          <w:rFonts w:cs="Times New Roman"/>
          <w:color w:val="000000" w:themeColor="text1"/>
          <w:kern w:val="0"/>
          <w:sz w:val="36"/>
          <w:szCs w:val="36"/>
        </w:rPr>
      </w:pPr>
      <w:r w:rsidRPr="00241917">
        <w:rPr>
          <w:rFonts w:cs="Times New Roman"/>
          <w:b/>
          <w:bCs/>
          <w:color w:val="000000" w:themeColor="text1"/>
        </w:rPr>
        <w:br w:type="page"/>
      </w:r>
    </w:p>
    <w:p w14:paraId="39BEA494" w14:textId="368174E8" w:rsidR="0014245A" w:rsidRPr="00241917" w:rsidRDefault="00241917" w:rsidP="008B5251">
      <w:pPr>
        <w:ind w:firstLineChars="0" w:firstLine="0"/>
        <w:jc w:val="center"/>
        <w:rPr>
          <w:rFonts w:cs="Times New Roman"/>
          <w:b/>
          <w:bCs/>
          <w:color w:val="000000" w:themeColor="text1"/>
        </w:rPr>
      </w:pPr>
      <w:r w:rsidRPr="00241917">
        <w:rPr>
          <w:rFonts w:cs="Times New Roman"/>
          <w:color w:val="000000" w:themeColor="text1"/>
          <w:kern w:val="0"/>
          <w:szCs w:val="24"/>
        </w:rPr>
        <w:t>Additional file 1</w:t>
      </w:r>
      <w:r w:rsidRPr="00241917">
        <w:rPr>
          <w:rFonts w:cs="Times New Roman"/>
          <w:color w:val="000000" w:themeColor="text1"/>
          <w:kern w:val="0"/>
          <w:szCs w:val="24"/>
        </w:rPr>
        <w:t xml:space="preserve">: </w:t>
      </w:r>
      <w:r w:rsidR="0014245A" w:rsidRPr="00241917">
        <w:rPr>
          <w:rFonts w:cs="Times New Roman"/>
          <w:b/>
          <w:bCs/>
          <w:color w:val="000000" w:themeColor="text1"/>
        </w:rPr>
        <w:t>Table S1. Detailed information of antibodies to CD31, VEGF</w:t>
      </w:r>
      <w:r w:rsidR="00632E4C" w:rsidRPr="00241917">
        <w:rPr>
          <w:rFonts w:cs="Times New Roman"/>
          <w:b/>
          <w:bCs/>
          <w:color w:val="000000" w:themeColor="text1"/>
        </w:rPr>
        <w:t>A</w:t>
      </w:r>
      <w:r w:rsidR="0014245A" w:rsidRPr="00241917">
        <w:rPr>
          <w:rFonts w:cs="Times New Roman"/>
          <w:b/>
          <w:bCs/>
          <w:color w:val="000000" w:themeColor="text1"/>
        </w:rPr>
        <w:t>, VEGFR2, SRC, PI3K, AKT1, p-VEGFR2, p-SRC, p-PI3K, p-AKT and GAPDH proteins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418"/>
        <w:gridCol w:w="2551"/>
        <w:gridCol w:w="1560"/>
        <w:gridCol w:w="2759"/>
      </w:tblGrid>
      <w:tr w:rsidR="00241917" w:rsidRPr="00241917" w14:paraId="015080AF" w14:textId="77777777" w:rsidTr="00AF503E">
        <w:trPr>
          <w:trHeight w:val="214"/>
        </w:trPr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61BC875F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Antibodies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18A23DE7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Molecular weight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232D7A19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Cat No.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14:paraId="22B1C6E2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Sources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14:paraId="19278F9D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Concentration</w:t>
            </w:r>
          </w:p>
        </w:tc>
        <w:tc>
          <w:tcPr>
            <w:tcW w:w="2759" w:type="dxa"/>
            <w:tcBorders>
              <w:top w:val="single" w:sz="8" w:space="0" w:color="auto"/>
              <w:bottom w:val="single" w:sz="4" w:space="0" w:color="auto"/>
            </w:tcBorders>
          </w:tcPr>
          <w:p w14:paraId="1DBD46C4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Companies</w:t>
            </w:r>
          </w:p>
        </w:tc>
      </w:tr>
      <w:tr w:rsidR="00241917" w:rsidRPr="00241917" w14:paraId="2B001860" w14:textId="77777777" w:rsidTr="00AF503E">
        <w:trPr>
          <w:trHeight w:val="664"/>
        </w:trPr>
        <w:tc>
          <w:tcPr>
            <w:tcW w:w="4111" w:type="dxa"/>
            <w:tcBorders>
              <w:top w:val="single" w:sz="4" w:space="0" w:color="auto"/>
            </w:tcBorders>
          </w:tcPr>
          <w:p w14:paraId="086564E3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Platelet endothelial cell adhesion molecule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DC0B7E" w14:textId="1A481640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8</w:t>
            </w: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2kDa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8B1BA7F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ab182981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54C9AE6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monoclonal antibody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6DF5C6B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1:1000</w:t>
            </w:r>
          </w:p>
        </w:tc>
        <w:tc>
          <w:tcPr>
            <w:tcW w:w="2759" w:type="dxa"/>
            <w:tcBorders>
              <w:top w:val="single" w:sz="4" w:space="0" w:color="auto"/>
            </w:tcBorders>
          </w:tcPr>
          <w:p w14:paraId="71E9602A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Abcam</w:t>
            </w:r>
          </w:p>
          <w:p w14:paraId="211B2FA9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Cambridge, UK</w:t>
            </w:r>
          </w:p>
        </w:tc>
      </w:tr>
      <w:tr w:rsidR="00241917" w:rsidRPr="00241917" w14:paraId="27343DB7" w14:textId="77777777" w:rsidTr="00AF503E">
        <w:trPr>
          <w:trHeight w:val="657"/>
        </w:trPr>
        <w:tc>
          <w:tcPr>
            <w:tcW w:w="4111" w:type="dxa"/>
          </w:tcPr>
          <w:p w14:paraId="3DB3D445" w14:textId="5B82BF58" w:rsidR="0014245A" w:rsidRPr="00241917" w:rsidRDefault="001F72E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V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ascular endothelial growth factor</w:t>
            </w:r>
            <w:r w:rsidR="00CC2BDC" w:rsidRPr="00241917">
              <w:rPr>
                <w:rFonts w:cs="Times New Roman"/>
                <w:color w:val="000000" w:themeColor="text1"/>
                <w:sz w:val="20"/>
                <w:szCs w:val="20"/>
              </w:rPr>
              <w:t xml:space="preserve"> A</w:t>
            </w:r>
          </w:p>
        </w:tc>
        <w:tc>
          <w:tcPr>
            <w:tcW w:w="1559" w:type="dxa"/>
          </w:tcPr>
          <w:p w14:paraId="36E33A27" w14:textId="6648586E" w:rsidR="0014245A" w:rsidRPr="00241917" w:rsidRDefault="00196017" w:rsidP="00AF503E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27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  <w:r w:rsidR="0014245A"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</w:tcPr>
          <w:p w14:paraId="463AB0E6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A12303</w:t>
            </w:r>
          </w:p>
        </w:tc>
        <w:tc>
          <w:tcPr>
            <w:tcW w:w="2551" w:type="dxa"/>
          </w:tcPr>
          <w:p w14:paraId="54A15360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polyclonal antibody</w:t>
            </w:r>
          </w:p>
        </w:tc>
        <w:tc>
          <w:tcPr>
            <w:tcW w:w="1560" w:type="dxa"/>
          </w:tcPr>
          <w:p w14:paraId="4C087253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1:100</w:t>
            </w:r>
          </w:p>
        </w:tc>
        <w:tc>
          <w:tcPr>
            <w:tcW w:w="2759" w:type="dxa"/>
          </w:tcPr>
          <w:p w14:paraId="7B16BBEE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1" w:name="_Hlk143614106"/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Abclonal</w:t>
            </w:r>
          </w:p>
          <w:bookmarkEnd w:id="1"/>
          <w:p w14:paraId="32349B3D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Wuhan, China</w:t>
            </w:r>
          </w:p>
        </w:tc>
      </w:tr>
      <w:tr w:rsidR="00241917" w:rsidRPr="00241917" w14:paraId="11E012AC" w14:textId="77777777" w:rsidTr="00AF503E">
        <w:trPr>
          <w:trHeight w:val="1203"/>
        </w:trPr>
        <w:tc>
          <w:tcPr>
            <w:tcW w:w="4111" w:type="dxa"/>
          </w:tcPr>
          <w:p w14:paraId="1A30650F" w14:textId="334BAB3E" w:rsidR="0014245A" w:rsidRPr="00241917" w:rsidRDefault="001F72E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V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ascular endothelial growth factor receptor 2</w:t>
            </w:r>
          </w:p>
        </w:tc>
        <w:tc>
          <w:tcPr>
            <w:tcW w:w="1559" w:type="dxa"/>
          </w:tcPr>
          <w:p w14:paraId="4DA1A02E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230k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</w:tcPr>
          <w:p w14:paraId="4C8AD33C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9698</w:t>
            </w:r>
          </w:p>
        </w:tc>
        <w:tc>
          <w:tcPr>
            <w:tcW w:w="2551" w:type="dxa"/>
          </w:tcPr>
          <w:p w14:paraId="04D68C6D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monoclonal antibody</w:t>
            </w:r>
          </w:p>
        </w:tc>
        <w:tc>
          <w:tcPr>
            <w:tcW w:w="1560" w:type="dxa"/>
          </w:tcPr>
          <w:p w14:paraId="35D5ED17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1:2000</w:t>
            </w:r>
          </w:p>
        </w:tc>
        <w:tc>
          <w:tcPr>
            <w:tcW w:w="2759" w:type="dxa"/>
          </w:tcPr>
          <w:p w14:paraId="6AF56DBC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Cell Signaling Technology</w:t>
            </w:r>
          </w:p>
          <w:p w14:paraId="647FB217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Boston, USA</w:t>
            </w:r>
          </w:p>
        </w:tc>
      </w:tr>
      <w:tr w:rsidR="00241917" w:rsidRPr="00241917" w14:paraId="72E5E50B" w14:textId="77777777" w:rsidTr="00AF503E">
        <w:trPr>
          <w:trHeight w:val="151"/>
        </w:trPr>
        <w:tc>
          <w:tcPr>
            <w:tcW w:w="4111" w:type="dxa"/>
          </w:tcPr>
          <w:p w14:paraId="5C38FCB1" w14:textId="72238F9B" w:rsidR="0014245A" w:rsidRPr="00241917" w:rsidRDefault="001F72E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roto-oncogene tyrosine-protein kinase Src</w:t>
            </w:r>
          </w:p>
        </w:tc>
        <w:tc>
          <w:tcPr>
            <w:tcW w:w="1559" w:type="dxa"/>
          </w:tcPr>
          <w:p w14:paraId="1142F296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60k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</w:tcPr>
          <w:p w14:paraId="506127A1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2109</w:t>
            </w:r>
          </w:p>
        </w:tc>
        <w:tc>
          <w:tcPr>
            <w:tcW w:w="2551" w:type="dxa"/>
          </w:tcPr>
          <w:p w14:paraId="3A3A1BBD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monoclonal antibody</w:t>
            </w:r>
          </w:p>
        </w:tc>
        <w:tc>
          <w:tcPr>
            <w:tcW w:w="1560" w:type="dxa"/>
          </w:tcPr>
          <w:p w14:paraId="6246E9BD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1:2000</w:t>
            </w:r>
          </w:p>
        </w:tc>
        <w:tc>
          <w:tcPr>
            <w:tcW w:w="2759" w:type="dxa"/>
          </w:tcPr>
          <w:p w14:paraId="5581EDD2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Cell Signaling Technology</w:t>
            </w:r>
          </w:p>
          <w:p w14:paraId="748D7C49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Boston, USA</w:t>
            </w:r>
          </w:p>
        </w:tc>
      </w:tr>
      <w:tr w:rsidR="00241917" w:rsidRPr="00241917" w14:paraId="7D1AD4A4" w14:textId="77777777" w:rsidTr="00AF503E">
        <w:trPr>
          <w:trHeight w:val="151"/>
        </w:trPr>
        <w:tc>
          <w:tcPr>
            <w:tcW w:w="4111" w:type="dxa"/>
          </w:tcPr>
          <w:p w14:paraId="7890BFD1" w14:textId="62E60011" w:rsidR="0014245A" w:rsidRPr="00241917" w:rsidRDefault="001F72E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hosphatidylinositol 3-kinase 3</w:t>
            </w:r>
          </w:p>
        </w:tc>
        <w:tc>
          <w:tcPr>
            <w:tcW w:w="1559" w:type="dxa"/>
          </w:tcPr>
          <w:p w14:paraId="641BB99F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85k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</w:tcPr>
          <w:p w14:paraId="16ACFCFA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4257</w:t>
            </w:r>
          </w:p>
        </w:tc>
        <w:tc>
          <w:tcPr>
            <w:tcW w:w="2551" w:type="dxa"/>
          </w:tcPr>
          <w:p w14:paraId="0571D219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monoclonal antibody</w:t>
            </w:r>
          </w:p>
        </w:tc>
        <w:tc>
          <w:tcPr>
            <w:tcW w:w="1560" w:type="dxa"/>
          </w:tcPr>
          <w:p w14:paraId="7A95C34C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1:2000</w:t>
            </w:r>
          </w:p>
        </w:tc>
        <w:tc>
          <w:tcPr>
            <w:tcW w:w="2759" w:type="dxa"/>
          </w:tcPr>
          <w:p w14:paraId="5E723FFB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Cell Signaling Technology</w:t>
            </w:r>
          </w:p>
          <w:p w14:paraId="600D664F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Boston, USA</w:t>
            </w:r>
          </w:p>
        </w:tc>
      </w:tr>
      <w:tr w:rsidR="00241917" w:rsidRPr="00241917" w14:paraId="3208E802" w14:textId="77777777" w:rsidTr="00AF503E">
        <w:trPr>
          <w:trHeight w:val="657"/>
        </w:trPr>
        <w:tc>
          <w:tcPr>
            <w:tcW w:w="4111" w:type="dxa"/>
          </w:tcPr>
          <w:p w14:paraId="095C7FA8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RAC-alpha serine/threonine-protein kinase</w:t>
            </w:r>
          </w:p>
        </w:tc>
        <w:tc>
          <w:tcPr>
            <w:tcW w:w="1559" w:type="dxa"/>
          </w:tcPr>
          <w:p w14:paraId="3C9A0F0C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60k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</w:tcPr>
          <w:p w14:paraId="7D400FFB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ab89402</w:t>
            </w:r>
          </w:p>
        </w:tc>
        <w:tc>
          <w:tcPr>
            <w:tcW w:w="2551" w:type="dxa"/>
          </w:tcPr>
          <w:p w14:paraId="1DB1FB1C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mouse monoclonal antibody</w:t>
            </w:r>
          </w:p>
        </w:tc>
        <w:tc>
          <w:tcPr>
            <w:tcW w:w="1560" w:type="dxa"/>
          </w:tcPr>
          <w:p w14:paraId="4FFB1C71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1:2000</w:t>
            </w:r>
          </w:p>
        </w:tc>
        <w:tc>
          <w:tcPr>
            <w:tcW w:w="2759" w:type="dxa"/>
          </w:tcPr>
          <w:p w14:paraId="6F7EE886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Abcam</w:t>
            </w:r>
          </w:p>
          <w:p w14:paraId="72AB55D6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Cambridge, UK</w:t>
            </w:r>
          </w:p>
        </w:tc>
      </w:tr>
      <w:tr w:rsidR="00241917" w:rsidRPr="00241917" w14:paraId="2376FD8B" w14:textId="77777777" w:rsidTr="00AF503E">
        <w:trPr>
          <w:trHeight w:val="657"/>
        </w:trPr>
        <w:tc>
          <w:tcPr>
            <w:tcW w:w="4111" w:type="dxa"/>
          </w:tcPr>
          <w:p w14:paraId="1AB9528C" w14:textId="00430897" w:rsidR="0014245A" w:rsidRPr="00241917" w:rsidRDefault="001F72E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hosphorylated phospho-VEGF receptor 2</w:t>
            </w:r>
          </w:p>
        </w:tc>
        <w:tc>
          <w:tcPr>
            <w:tcW w:w="1559" w:type="dxa"/>
          </w:tcPr>
          <w:p w14:paraId="52A072B7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170k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</w:tcPr>
          <w:p w14:paraId="705DB69C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AF3279</w:t>
            </w:r>
          </w:p>
        </w:tc>
        <w:tc>
          <w:tcPr>
            <w:tcW w:w="2551" w:type="dxa"/>
          </w:tcPr>
          <w:p w14:paraId="56338099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polyclonal antibody</w:t>
            </w:r>
          </w:p>
        </w:tc>
        <w:tc>
          <w:tcPr>
            <w:tcW w:w="1560" w:type="dxa"/>
          </w:tcPr>
          <w:p w14:paraId="10D9463A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1:2000</w:t>
            </w:r>
          </w:p>
        </w:tc>
        <w:tc>
          <w:tcPr>
            <w:tcW w:w="2759" w:type="dxa"/>
          </w:tcPr>
          <w:p w14:paraId="7A67CDF9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Affinity Biosciences</w:t>
            </w:r>
          </w:p>
          <w:p w14:paraId="7B55BE6B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OH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,</w:t>
            </w: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U</w:t>
            </w: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SA</w:t>
            </w:r>
          </w:p>
        </w:tc>
      </w:tr>
      <w:tr w:rsidR="00241917" w:rsidRPr="00241917" w14:paraId="4163E79B" w14:textId="77777777" w:rsidTr="00AF503E">
        <w:trPr>
          <w:trHeight w:val="657"/>
        </w:trPr>
        <w:tc>
          <w:tcPr>
            <w:tcW w:w="4111" w:type="dxa"/>
          </w:tcPr>
          <w:p w14:paraId="26E97BEA" w14:textId="5EA59DEA" w:rsidR="0014245A" w:rsidRPr="00241917" w:rsidRDefault="001F72E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hospho-SRC antibody</w:t>
            </w:r>
          </w:p>
        </w:tc>
        <w:tc>
          <w:tcPr>
            <w:tcW w:w="1559" w:type="dxa"/>
          </w:tcPr>
          <w:p w14:paraId="66437F3F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60k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</w:tcPr>
          <w:p w14:paraId="4675796A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AF3161</w:t>
            </w:r>
          </w:p>
        </w:tc>
        <w:tc>
          <w:tcPr>
            <w:tcW w:w="2551" w:type="dxa"/>
          </w:tcPr>
          <w:p w14:paraId="23BFB612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polyclonal antibody</w:t>
            </w:r>
          </w:p>
        </w:tc>
        <w:tc>
          <w:tcPr>
            <w:tcW w:w="1560" w:type="dxa"/>
          </w:tcPr>
          <w:p w14:paraId="0CB88CDC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1:2000</w:t>
            </w:r>
          </w:p>
        </w:tc>
        <w:tc>
          <w:tcPr>
            <w:tcW w:w="2759" w:type="dxa"/>
          </w:tcPr>
          <w:p w14:paraId="1F008FDE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Affinity Biosciences</w:t>
            </w:r>
          </w:p>
          <w:p w14:paraId="739BF71C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OH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,</w:t>
            </w: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U</w:t>
            </w: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SA</w:t>
            </w:r>
          </w:p>
        </w:tc>
      </w:tr>
      <w:tr w:rsidR="00241917" w:rsidRPr="00241917" w14:paraId="46BA4936" w14:textId="77777777" w:rsidTr="00AF503E">
        <w:trPr>
          <w:trHeight w:val="657"/>
        </w:trPr>
        <w:tc>
          <w:tcPr>
            <w:tcW w:w="4111" w:type="dxa"/>
          </w:tcPr>
          <w:p w14:paraId="30B8F7A8" w14:textId="585D2F21" w:rsidR="0014245A" w:rsidRPr="00241917" w:rsidRDefault="001F72E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hospho-PI3K antibody</w:t>
            </w:r>
          </w:p>
        </w:tc>
        <w:tc>
          <w:tcPr>
            <w:tcW w:w="1559" w:type="dxa"/>
          </w:tcPr>
          <w:p w14:paraId="4301B369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56k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</w:tcPr>
          <w:p w14:paraId="334C92A5" w14:textId="77777777" w:rsidR="0014245A" w:rsidRPr="00241917" w:rsidRDefault="0014245A" w:rsidP="00AF503E">
            <w:pPr>
              <w:ind w:firstLineChars="0" w:firstLine="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AF3242</w:t>
            </w:r>
          </w:p>
        </w:tc>
        <w:tc>
          <w:tcPr>
            <w:tcW w:w="2551" w:type="dxa"/>
          </w:tcPr>
          <w:p w14:paraId="1BA29311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polyclonal antibody</w:t>
            </w:r>
          </w:p>
        </w:tc>
        <w:tc>
          <w:tcPr>
            <w:tcW w:w="1560" w:type="dxa"/>
          </w:tcPr>
          <w:p w14:paraId="46F0C5D2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1:2000</w:t>
            </w:r>
          </w:p>
        </w:tc>
        <w:tc>
          <w:tcPr>
            <w:tcW w:w="2759" w:type="dxa"/>
          </w:tcPr>
          <w:p w14:paraId="1DE1F08B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Affinity Biosciences</w:t>
            </w:r>
          </w:p>
          <w:p w14:paraId="7FD5C382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OH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,</w:t>
            </w: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U</w:t>
            </w: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SA</w:t>
            </w:r>
          </w:p>
        </w:tc>
      </w:tr>
      <w:tr w:rsidR="00241917" w:rsidRPr="00241917" w14:paraId="6373F22C" w14:textId="77777777" w:rsidTr="00AF503E">
        <w:trPr>
          <w:trHeight w:val="657"/>
        </w:trPr>
        <w:tc>
          <w:tcPr>
            <w:tcW w:w="4111" w:type="dxa"/>
          </w:tcPr>
          <w:p w14:paraId="73978789" w14:textId="53F28D8E" w:rsidR="0014245A" w:rsidRPr="00241917" w:rsidRDefault="001F72E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hospho-AKT1/2/3</w:t>
            </w:r>
          </w:p>
        </w:tc>
        <w:tc>
          <w:tcPr>
            <w:tcW w:w="1559" w:type="dxa"/>
          </w:tcPr>
          <w:p w14:paraId="17379AB1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56k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</w:tcPr>
          <w:p w14:paraId="4B363EF5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AF0016</w:t>
            </w:r>
          </w:p>
        </w:tc>
        <w:tc>
          <w:tcPr>
            <w:tcW w:w="2551" w:type="dxa"/>
          </w:tcPr>
          <w:p w14:paraId="7B1A21DB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polyclonal antibody</w:t>
            </w:r>
          </w:p>
        </w:tc>
        <w:tc>
          <w:tcPr>
            <w:tcW w:w="1560" w:type="dxa"/>
          </w:tcPr>
          <w:p w14:paraId="3491BB21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1:2000</w:t>
            </w:r>
          </w:p>
        </w:tc>
        <w:tc>
          <w:tcPr>
            <w:tcW w:w="2759" w:type="dxa"/>
          </w:tcPr>
          <w:p w14:paraId="0EE3966E" w14:textId="77777777" w:rsidR="00AF503E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Affinity Biosciences</w:t>
            </w:r>
            <w:r w:rsidR="00AF503E"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8655B7E" w14:textId="08751642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OH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,</w:t>
            </w: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U</w:t>
            </w: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SA</w:t>
            </w:r>
          </w:p>
        </w:tc>
      </w:tr>
      <w:tr w:rsidR="00241917" w:rsidRPr="00241917" w14:paraId="2A233B0C" w14:textId="77777777" w:rsidTr="00AF503E">
        <w:trPr>
          <w:trHeight w:val="657"/>
        </w:trPr>
        <w:tc>
          <w:tcPr>
            <w:tcW w:w="4111" w:type="dxa"/>
            <w:tcBorders>
              <w:bottom w:val="single" w:sz="8" w:space="0" w:color="auto"/>
            </w:tcBorders>
          </w:tcPr>
          <w:p w14:paraId="721E767F" w14:textId="5CF1DD05" w:rsidR="0014245A" w:rsidRPr="00241917" w:rsidRDefault="001F72E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G</w:t>
            </w:r>
            <w:r w:rsidR="0014245A" w:rsidRPr="00241917">
              <w:rPr>
                <w:rFonts w:cs="Times New Roman"/>
                <w:color w:val="000000" w:themeColor="text1"/>
                <w:sz w:val="20"/>
                <w:szCs w:val="20"/>
              </w:rPr>
              <w:t>lyceraldehyde-3-phosphate dehydrogenase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15B4D149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37k</w:t>
            </w:r>
            <w:r w:rsidRPr="00241917">
              <w:rPr>
                <w:rFonts w:cs="Times New Roman" w:hint="eastAsia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54CDADC4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5174T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719026A5" w14:textId="77777777" w:rsidR="0014245A" w:rsidRPr="00241917" w:rsidRDefault="0014245A" w:rsidP="00905462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rabbit monoclonal antibody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42277E1B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1:10000</w:t>
            </w:r>
          </w:p>
        </w:tc>
        <w:tc>
          <w:tcPr>
            <w:tcW w:w="2759" w:type="dxa"/>
            <w:tcBorders>
              <w:bottom w:val="single" w:sz="8" w:space="0" w:color="auto"/>
            </w:tcBorders>
          </w:tcPr>
          <w:p w14:paraId="001D9686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Cell Signaling Technology</w:t>
            </w:r>
          </w:p>
          <w:p w14:paraId="0A243573" w14:textId="77777777" w:rsidR="0014245A" w:rsidRPr="00241917" w:rsidRDefault="0014245A" w:rsidP="00AF503E">
            <w:pPr>
              <w:ind w:firstLineChars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41917">
              <w:rPr>
                <w:rFonts w:cs="Times New Roman"/>
                <w:color w:val="000000" w:themeColor="text1"/>
                <w:sz w:val="20"/>
                <w:szCs w:val="20"/>
              </w:rPr>
              <w:t>Boston, USA</w:t>
            </w:r>
          </w:p>
        </w:tc>
      </w:tr>
    </w:tbl>
    <w:p w14:paraId="249CFB0B" w14:textId="77777777" w:rsidR="0014245A" w:rsidRPr="00241917" w:rsidRDefault="0014245A" w:rsidP="00905462">
      <w:pPr>
        <w:widowControl/>
        <w:ind w:firstLineChars="0" w:firstLine="0"/>
        <w:rPr>
          <w:rFonts w:cs="Times New Roman"/>
          <w:b/>
          <w:bCs/>
          <w:color w:val="000000" w:themeColor="text1"/>
        </w:rPr>
        <w:sectPr w:rsidR="0014245A" w:rsidRPr="00241917" w:rsidSect="002419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nextPage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26"/>
        </w:sectPr>
      </w:pPr>
    </w:p>
    <w:p w14:paraId="1B0FF6E4" w14:textId="2B80C313" w:rsidR="00587209" w:rsidRPr="00241917" w:rsidRDefault="00241917" w:rsidP="00587209">
      <w:pPr>
        <w:widowControl/>
        <w:ind w:firstLineChars="0" w:firstLine="0"/>
        <w:jc w:val="center"/>
        <w:rPr>
          <w:rFonts w:cs="Times New Roman"/>
          <w:b/>
          <w:bCs/>
          <w:color w:val="000000" w:themeColor="text1"/>
          <w:kern w:val="0"/>
          <w:szCs w:val="24"/>
        </w:rPr>
      </w:pPr>
      <w:r w:rsidRPr="00241917">
        <w:rPr>
          <w:rFonts w:cs="Times New Roman"/>
          <w:color w:val="000000" w:themeColor="text1"/>
          <w:kern w:val="0"/>
          <w:szCs w:val="24"/>
        </w:rPr>
        <w:t>Additional file 1</w:t>
      </w:r>
      <w:r w:rsidRPr="00241917">
        <w:rPr>
          <w:rFonts w:cs="Times New Roman"/>
          <w:color w:val="000000" w:themeColor="text1"/>
          <w:kern w:val="0"/>
          <w:szCs w:val="24"/>
        </w:rPr>
        <w:t xml:space="preserve">: </w:t>
      </w:r>
      <w:r w:rsidR="00587209" w:rsidRPr="00241917">
        <w:rPr>
          <w:rFonts w:cs="Times New Roman"/>
          <w:b/>
          <w:bCs/>
          <w:color w:val="000000" w:themeColor="text1"/>
          <w:kern w:val="0"/>
          <w:szCs w:val="24"/>
        </w:rPr>
        <w:t>Table S2. Detailed information of docking parameters, the binding sites and patterns of the active components with target proteins for molecular docking of MG with SRC, eNOS, VEGFR2</w:t>
      </w:r>
      <w:r w:rsidR="00587209" w:rsidRPr="00241917">
        <w:rPr>
          <w:rFonts w:cs="Times New Roman" w:hint="eastAsia"/>
          <w:b/>
          <w:bCs/>
          <w:color w:val="000000" w:themeColor="text1"/>
          <w:kern w:val="0"/>
          <w:szCs w:val="24"/>
        </w:rPr>
        <w:t>,</w:t>
      </w:r>
      <w:r w:rsidR="00587209" w:rsidRPr="00241917">
        <w:rPr>
          <w:rFonts w:cs="Times New Roman"/>
          <w:b/>
          <w:bCs/>
          <w:color w:val="000000" w:themeColor="text1"/>
          <w:kern w:val="0"/>
          <w:szCs w:val="24"/>
        </w:rPr>
        <w:t xml:space="preserve"> as well GA with eNOS, AKT1 and PI3K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685"/>
        <w:gridCol w:w="2694"/>
        <w:gridCol w:w="1785"/>
      </w:tblGrid>
      <w:tr w:rsidR="00241917" w:rsidRPr="00241917" w14:paraId="38852637" w14:textId="77777777" w:rsidTr="00551B77">
        <w:trPr>
          <w:jc w:val="center"/>
        </w:trPr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FAC45A" w14:textId="501D5020" w:rsidR="00587209" w:rsidRPr="00241917" w:rsidRDefault="00587209" w:rsidP="00587209">
            <w:pPr>
              <w:ind w:firstLineChars="0" w:firstLine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241917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arget</w:t>
            </w:r>
            <w:r w:rsidRPr="00241917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632AA" w:rsidRPr="00241917">
              <w:rPr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241917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rotein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14B8E5C" w14:textId="4AE29ED9" w:rsidR="00587209" w:rsidRPr="00241917" w:rsidRDefault="00587209" w:rsidP="00587209">
            <w:pPr>
              <w:ind w:firstLineChars="0" w:firstLine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b/>
                <w:bCs/>
                <w:color w:val="000000" w:themeColor="text1"/>
                <w:sz w:val="20"/>
                <w:szCs w:val="20"/>
              </w:rPr>
              <w:t xml:space="preserve">Bioactive </w:t>
            </w:r>
            <w:r w:rsidR="006632AA" w:rsidRPr="00241917">
              <w:rPr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241917">
              <w:rPr>
                <w:b/>
                <w:bCs/>
                <w:color w:val="000000" w:themeColor="text1"/>
                <w:sz w:val="20"/>
                <w:szCs w:val="20"/>
              </w:rPr>
              <w:t>omponents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A114D9" w14:textId="77777777" w:rsidR="00587209" w:rsidRPr="00241917" w:rsidRDefault="00587209" w:rsidP="00587209">
            <w:pPr>
              <w:ind w:firstLineChars="0" w:firstLine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b/>
                <w:bCs/>
                <w:color w:val="000000" w:themeColor="text1"/>
                <w:sz w:val="20"/>
                <w:szCs w:val="20"/>
              </w:rPr>
              <w:t>Combining the center coordinates of</w:t>
            </w:r>
          </w:p>
          <w:p w14:paraId="30A98FDE" w14:textId="77777777" w:rsidR="00587209" w:rsidRPr="00241917" w:rsidRDefault="00587209" w:rsidP="00587209">
            <w:pPr>
              <w:ind w:firstLineChars="0" w:firstLine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b/>
                <w:bCs/>
                <w:color w:val="000000" w:themeColor="text1"/>
                <w:sz w:val="20"/>
                <w:szCs w:val="20"/>
              </w:rPr>
              <w:t>the cavity (X, Y, Z)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400F29D" w14:textId="35DBAD1E" w:rsidR="00587209" w:rsidRPr="00241917" w:rsidRDefault="00587209" w:rsidP="00587209">
            <w:pPr>
              <w:ind w:firstLineChars="0" w:firstLine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b/>
                <w:bCs/>
                <w:color w:val="000000" w:themeColor="text1"/>
                <w:sz w:val="20"/>
                <w:szCs w:val="20"/>
              </w:rPr>
              <w:t xml:space="preserve">Binding </w:t>
            </w:r>
            <w:r w:rsidR="006632AA" w:rsidRPr="00241917">
              <w:rPr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241917">
              <w:rPr>
                <w:b/>
                <w:bCs/>
                <w:color w:val="000000" w:themeColor="text1"/>
                <w:sz w:val="20"/>
                <w:szCs w:val="20"/>
              </w:rPr>
              <w:t>ites</w:t>
            </w:r>
          </w:p>
        </w:tc>
        <w:tc>
          <w:tcPr>
            <w:tcW w:w="17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3686F5D" w14:textId="77777777" w:rsidR="00587209" w:rsidRPr="00241917" w:rsidRDefault="00587209" w:rsidP="00587209">
            <w:pPr>
              <w:ind w:firstLineChars="0" w:firstLine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41917">
              <w:rPr>
                <w:b/>
                <w:bCs/>
                <w:color w:val="000000" w:themeColor="text1"/>
                <w:sz w:val="20"/>
                <w:szCs w:val="20"/>
              </w:rPr>
              <w:t>Hydrogen-binding</w:t>
            </w:r>
          </w:p>
        </w:tc>
      </w:tr>
      <w:tr w:rsidR="00241917" w:rsidRPr="00241917" w14:paraId="4194E7A4" w14:textId="77777777" w:rsidTr="00551B77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717E73E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e</w:t>
            </w:r>
            <w:r w:rsidRPr="00241917">
              <w:rPr>
                <w:color w:val="000000" w:themeColor="text1"/>
                <w:sz w:val="20"/>
                <w:szCs w:val="20"/>
              </w:rPr>
              <w:t>NOS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B0F1882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M</w:t>
            </w:r>
            <w:r w:rsidRPr="00241917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2D2BE4AE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14.8, 14.2, 57.4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7F0BC8F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G</w:t>
            </w:r>
            <w:r w:rsidRPr="00241917">
              <w:rPr>
                <w:color w:val="000000" w:themeColor="text1"/>
                <w:sz w:val="20"/>
                <w:szCs w:val="20"/>
              </w:rPr>
              <w:t>LY152, GLU327, TYR323, GLN213, SER192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397E6928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\</w:t>
            </w:r>
          </w:p>
        </w:tc>
      </w:tr>
      <w:tr w:rsidR="00241917" w:rsidRPr="00241917" w14:paraId="0A1649BC" w14:textId="77777777" w:rsidTr="00551B77">
        <w:trPr>
          <w:jc w:val="center"/>
        </w:trPr>
        <w:tc>
          <w:tcPr>
            <w:tcW w:w="1843" w:type="dxa"/>
            <w:vAlign w:val="center"/>
          </w:tcPr>
          <w:p w14:paraId="08875CB1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S</w:t>
            </w:r>
            <w:r w:rsidRPr="00241917">
              <w:rPr>
                <w:color w:val="000000" w:themeColor="text1"/>
                <w:sz w:val="20"/>
                <w:szCs w:val="20"/>
              </w:rPr>
              <w:t>RC</w:t>
            </w:r>
          </w:p>
        </w:tc>
        <w:tc>
          <w:tcPr>
            <w:tcW w:w="2410" w:type="dxa"/>
            <w:vAlign w:val="center"/>
          </w:tcPr>
          <w:p w14:paraId="4BFBAB2C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M</w:t>
            </w:r>
            <w:r w:rsidRPr="00241917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3685" w:type="dxa"/>
            <w:vAlign w:val="center"/>
          </w:tcPr>
          <w:p w14:paraId="10E28BA8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20.7, 20.0, 57.7</w:t>
            </w:r>
          </w:p>
        </w:tc>
        <w:tc>
          <w:tcPr>
            <w:tcW w:w="2694" w:type="dxa"/>
            <w:vAlign w:val="center"/>
          </w:tcPr>
          <w:p w14:paraId="5E14693F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MET341, LYS295, ARG388</w:t>
            </w: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,</w:t>
            </w:r>
            <w:r w:rsidRPr="00241917">
              <w:rPr>
                <w:color w:val="000000" w:themeColor="text1"/>
                <w:sz w:val="20"/>
                <w:szCs w:val="20"/>
              </w:rPr>
              <w:t xml:space="preserve"> ALA390, GLY276, GLU339</w:t>
            </w:r>
          </w:p>
        </w:tc>
        <w:tc>
          <w:tcPr>
            <w:tcW w:w="1785" w:type="dxa"/>
            <w:vAlign w:val="center"/>
          </w:tcPr>
          <w:p w14:paraId="50167F16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MET341, LYS295, ARG388</w:t>
            </w:r>
          </w:p>
        </w:tc>
      </w:tr>
      <w:tr w:rsidR="00241917" w:rsidRPr="00241917" w14:paraId="1ACF36E7" w14:textId="77777777" w:rsidTr="00551B77">
        <w:trPr>
          <w:jc w:val="center"/>
        </w:trPr>
        <w:tc>
          <w:tcPr>
            <w:tcW w:w="1843" w:type="dxa"/>
            <w:vAlign w:val="center"/>
          </w:tcPr>
          <w:p w14:paraId="14176380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V</w:t>
            </w:r>
            <w:r w:rsidRPr="00241917">
              <w:rPr>
                <w:color w:val="000000" w:themeColor="text1"/>
                <w:sz w:val="20"/>
                <w:szCs w:val="20"/>
              </w:rPr>
              <w:t>EGFR2</w:t>
            </w:r>
          </w:p>
        </w:tc>
        <w:tc>
          <w:tcPr>
            <w:tcW w:w="2410" w:type="dxa"/>
            <w:vAlign w:val="center"/>
          </w:tcPr>
          <w:p w14:paraId="6050F3CC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M</w:t>
            </w:r>
            <w:r w:rsidRPr="00241917">
              <w:rPr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3685" w:type="dxa"/>
            <w:vAlign w:val="center"/>
          </w:tcPr>
          <w:p w14:paraId="1CA5D232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15.2, -1.9, 9.7</w:t>
            </w:r>
          </w:p>
        </w:tc>
        <w:tc>
          <w:tcPr>
            <w:tcW w:w="2694" w:type="dxa"/>
            <w:vAlign w:val="center"/>
          </w:tcPr>
          <w:p w14:paraId="207D9006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ASP1046, VAL899, ILE1025</w:t>
            </w:r>
          </w:p>
        </w:tc>
        <w:tc>
          <w:tcPr>
            <w:tcW w:w="1785" w:type="dxa"/>
            <w:vAlign w:val="center"/>
          </w:tcPr>
          <w:p w14:paraId="0C0AF114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ASP1046</w:t>
            </w:r>
          </w:p>
        </w:tc>
      </w:tr>
      <w:tr w:rsidR="00241917" w:rsidRPr="00241917" w14:paraId="78000F92" w14:textId="77777777" w:rsidTr="00551B77">
        <w:trPr>
          <w:jc w:val="center"/>
        </w:trPr>
        <w:tc>
          <w:tcPr>
            <w:tcW w:w="1843" w:type="dxa"/>
            <w:vAlign w:val="center"/>
          </w:tcPr>
          <w:p w14:paraId="1A79FCF5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e</w:t>
            </w:r>
            <w:r w:rsidRPr="00241917">
              <w:rPr>
                <w:color w:val="000000" w:themeColor="text1"/>
                <w:sz w:val="20"/>
                <w:szCs w:val="20"/>
              </w:rPr>
              <w:t>NOS</w:t>
            </w:r>
          </w:p>
        </w:tc>
        <w:tc>
          <w:tcPr>
            <w:tcW w:w="2410" w:type="dxa"/>
            <w:vAlign w:val="center"/>
          </w:tcPr>
          <w:p w14:paraId="54EA0FF4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G</w:t>
            </w:r>
            <w:r w:rsidRPr="00241917">
              <w:rPr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685" w:type="dxa"/>
            <w:vAlign w:val="center"/>
          </w:tcPr>
          <w:p w14:paraId="3272F263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14.8, 14.2, 57.4</w:t>
            </w:r>
          </w:p>
        </w:tc>
        <w:tc>
          <w:tcPr>
            <w:tcW w:w="2694" w:type="dxa"/>
            <w:vAlign w:val="center"/>
          </w:tcPr>
          <w:p w14:paraId="7EC98545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S</w:t>
            </w:r>
            <w:r w:rsidRPr="00241917">
              <w:rPr>
                <w:color w:val="000000" w:themeColor="text1"/>
                <w:sz w:val="20"/>
                <w:szCs w:val="20"/>
              </w:rPr>
              <w:t>ER320, TRP322, SER192</w:t>
            </w:r>
          </w:p>
        </w:tc>
        <w:tc>
          <w:tcPr>
            <w:tcW w:w="1785" w:type="dxa"/>
            <w:vAlign w:val="center"/>
          </w:tcPr>
          <w:p w14:paraId="140AA8F2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\</w:t>
            </w:r>
          </w:p>
        </w:tc>
      </w:tr>
      <w:tr w:rsidR="00241917" w:rsidRPr="00241917" w14:paraId="290C091D" w14:textId="77777777" w:rsidTr="00551B77">
        <w:trPr>
          <w:jc w:val="center"/>
        </w:trPr>
        <w:tc>
          <w:tcPr>
            <w:tcW w:w="1843" w:type="dxa"/>
            <w:tcBorders>
              <w:bottom w:val="nil"/>
            </w:tcBorders>
            <w:vAlign w:val="center"/>
          </w:tcPr>
          <w:p w14:paraId="35625511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241917">
              <w:rPr>
                <w:color w:val="000000" w:themeColor="text1"/>
                <w:sz w:val="20"/>
                <w:szCs w:val="20"/>
              </w:rPr>
              <w:t>KT1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18663EED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G</w:t>
            </w:r>
            <w:r w:rsidRPr="00241917">
              <w:rPr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685" w:type="dxa"/>
            <w:tcBorders>
              <w:bottom w:val="nil"/>
            </w:tcBorders>
            <w:vAlign w:val="center"/>
          </w:tcPr>
          <w:p w14:paraId="2588C418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-7.5, 1.9, 17.6</w:t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14:paraId="0AD796D4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241917">
              <w:rPr>
                <w:color w:val="000000" w:themeColor="text1"/>
                <w:sz w:val="20"/>
                <w:szCs w:val="20"/>
              </w:rPr>
              <w:t>SP439, GLU278, THR291, ASP292, THR195</w:t>
            </w:r>
          </w:p>
        </w:tc>
        <w:tc>
          <w:tcPr>
            <w:tcW w:w="1785" w:type="dxa"/>
            <w:tcBorders>
              <w:bottom w:val="nil"/>
            </w:tcBorders>
            <w:vAlign w:val="center"/>
          </w:tcPr>
          <w:p w14:paraId="0BC1E8C8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ASP-439</w:t>
            </w:r>
          </w:p>
        </w:tc>
      </w:tr>
      <w:tr w:rsidR="00587209" w:rsidRPr="00241917" w14:paraId="70B5AAF6" w14:textId="77777777" w:rsidTr="00551B77">
        <w:trPr>
          <w:jc w:val="center"/>
        </w:trPr>
        <w:tc>
          <w:tcPr>
            <w:tcW w:w="1843" w:type="dxa"/>
            <w:tcBorders>
              <w:top w:val="nil"/>
              <w:bottom w:val="single" w:sz="8" w:space="0" w:color="auto"/>
            </w:tcBorders>
            <w:vAlign w:val="center"/>
          </w:tcPr>
          <w:p w14:paraId="4DC669D0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P</w:t>
            </w:r>
            <w:r w:rsidRPr="00241917">
              <w:rPr>
                <w:color w:val="000000" w:themeColor="text1"/>
                <w:sz w:val="20"/>
                <w:szCs w:val="20"/>
              </w:rPr>
              <w:t>I3K</w:t>
            </w:r>
          </w:p>
        </w:tc>
        <w:tc>
          <w:tcPr>
            <w:tcW w:w="2410" w:type="dxa"/>
            <w:tcBorders>
              <w:top w:val="nil"/>
              <w:bottom w:val="single" w:sz="8" w:space="0" w:color="auto"/>
            </w:tcBorders>
            <w:vAlign w:val="center"/>
          </w:tcPr>
          <w:p w14:paraId="4FD626F4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G</w:t>
            </w:r>
            <w:r w:rsidRPr="00241917">
              <w:rPr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685" w:type="dxa"/>
            <w:tcBorders>
              <w:top w:val="nil"/>
              <w:bottom w:val="single" w:sz="8" w:space="0" w:color="auto"/>
            </w:tcBorders>
            <w:vAlign w:val="center"/>
          </w:tcPr>
          <w:p w14:paraId="65A14909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color w:val="000000" w:themeColor="text1"/>
                <w:sz w:val="20"/>
                <w:szCs w:val="20"/>
              </w:rPr>
              <w:t>-19.2, 11.5, 28.0</w:t>
            </w:r>
          </w:p>
        </w:tc>
        <w:tc>
          <w:tcPr>
            <w:tcW w:w="2694" w:type="dxa"/>
            <w:tcBorders>
              <w:top w:val="nil"/>
              <w:bottom w:val="single" w:sz="8" w:space="0" w:color="auto"/>
            </w:tcBorders>
            <w:vAlign w:val="center"/>
          </w:tcPr>
          <w:p w14:paraId="777BDBC5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G</w:t>
            </w:r>
            <w:r w:rsidRPr="00241917">
              <w:rPr>
                <w:color w:val="000000" w:themeColor="text1"/>
                <w:sz w:val="20"/>
                <w:szCs w:val="20"/>
              </w:rPr>
              <w:t>LU849, VAL851, HIS855, GLN859</w:t>
            </w:r>
          </w:p>
        </w:tc>
        <w:tc>
          <w:tcPr>
            <w:tcW w:w="1785" w:type="dxa"/>
            <w:tcBorders>
              <w:top w:val="nil"/>
              <w:bottom w:val="single" w:sz="8" w:space="0" w:color="auto"/>
            </w:tcBorders>
            <w:vAlign w:val="center"/>
          </w:tcPr>
          <w:p w14:paraId="65AB1E48" w14:textId="77777777" w:rsidR="00587209" w:rsidRPr="00241917" w:rsidRDefault="00587209" w:rsidP="00587209">
            <w:pPr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241917">
              <w:rPr>
                <w:rFonts w:hint="eastAsia"/>
                <w:color w:val="000000" w:themeColor="text1"/>
                <w:sz w:val="20"/>
                <w:szCs w:val="20"/>
              </w:rPr>
              <w:t>\</w:t>
            </w:r>
          </w:p>
        </w:tc>
      </w:tr>
    </w:tbl>
    <w:p w14:paraId="6DCC8166" w14:textId="3EA9589F" w:rsidR="00587209" w:rsidRPr="00241917" w:rsidRDefault="00587209" w:rsidP="00E63B3A">
      <w:pPr>
        <w:ind w:firstLineChars="0" w:firstLine="0"/>
        <w:rPr>
          <w:noProof/>
          <w:color w:val="000000" w:themeColor="text1"/>
          <w:u w:val="single"/>
        </w:rPr>
      </w:pPr>
    </w:p>
    <w:p w14:paraId="0F6D7EC8" w14:textId="77777777" w:rsidR="00587209" w:rsidRPr="00241917" w:rsidRDefault="00587209" w:rsidP="00E63B3A">
      <w:pPr>
        <w:ind w:firstLineChars="0" w:firstLine="0"/>
        <w:rPr>
          <w:i/>
          <w:iCs/>
          <w:noProof/>
          <w:color w:val="000000" w:themeColor="text1"/>
          <w:u w:val="single"/>
        </w:rPr>
        <w:sectPr w:rsidR="00587209" w:rsidRPr="00241917" w:rsidSect="00241917">
          <w:type w:val="nextPage"/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0C81DFA1" w14:textId="7E9E283B" w:rsidR="00E63B3A" w:rsidRPr="00241917" w:rsidRDefault="00241917" w:rsidP="00E63B3A">
      <w:pPr>
        <w:ind w:firstLineChars="0" w:firstLine="0"/>
        <w:rPr>
          <w:i/>
          <w:iCs/>
          <w:noProof/>
          <w:color w:val="000000" w:themeColor="text1"/>
          <w:u w:val="single"/>
        </w:rPr>
      </w:pPr>
      <w:r w:rsidRPr="00241917">
        <w:rPr>
          <w:rFonts w:cs="Times New Roman"/>
          <w:color w:val="000000" w:themeColor="text1"/>
          <w:kern w:val="0"/>
          <w:szCs w:val="24"/>
        </w:rPr>
        <w:t>Additional file 1</w:t>
      </w:r>
      <w:r w:rsidRPr="00241917">
        <w:rPr>
          <w:rFonts w:cs="Times New Roman"/>
          <w:color w:val="000000" w:themeColor="text1"/>
          <w:kern w:val="0"/>
          <w:szCs w:val="24"/>
        </w:rPr>
        <w:t xml:space="preserve">: </w:t>
      </w:r>
      <w:r w:rsidR="00E63B3A" w:rsidRPr="00241917">
        <w:rPr>
          <w:i/>
          <w:iCs/>
          <w:noProof/>
          <w:color w:val="000000" w:themeColor="text1"/>
          <w:u w:val="single"/>
        </w:rPr>
        <w:t>Section 1</w:t>
      </w:r>
      <w:r w:rsidR="00CB7C21" w:rsidRPr="00241917">
        <w:rPr>
          <w:i/>
          <w:iCs/>
          <w:noProof/>
          <w:color w:val="000000" w:themeColor="text1"/>
          <w:u w:val="single"/>
        </w:rPr>
        <w:t>.</w:t>
      </w:r>
      <w:r w:rsidR="00E63B3A" w:rsidRPr="00241917">
        <w:rPr>
          <w:i/>
          <w:iCs/>
          <w:noProof/>
          <w:color w:val="000000" w:themeColor="text1"/>
          <w:u w:val="single"/>
        </w:rPr>
        <w:t xml:space="preserve"> </w:t>
      </w:r>
      <w:bookmarkStart w:id="2" w:name="_Hlk143607777"/>
      <w:r w:rsidR="00E63B3A" w:rsidRPr="00241917">
        <w:rPr>
          <w:i/>
          <w:iCs/>
          <w:noProof/>
          <w:color w:val="000000" w:themeColor="text1"/>
          <w:u w:val="single"/>
        </w:rPr>
        <w:t>Severity assessment of arthritis</w:t>
      </w:r>
      <w:bookmarkEnd w:id="2"/>
    </w:p>
    <w:p w14:paraId="7550C538" w14:textId="368388FD" w:rsidR="007D06BE" w:rsidRPr="00241917" w:rsidRDefault="007D06BE" w:rsidP="00E63B3A">
      <w:pPr>
        <w:ind w:firstLineChars="0" w:firstLine="0"/>
        <w:rPr>
          <w:noProof/>
          <w:color w:val="000000" w:themeColor="text1"/>
        </w:rPr>
      </w:pPr>
      <w:r w:rsidRPr="00241917">
        <w:rPr>
          <w:noProof/>
          <w:color w:val="000000" w:themeColor="text1"/>
        </w:rPr>
        <w:t>Rats in different groups were observed once every day after primary immunization. Arthritis severity was evaluated by arthritis prevalence, arthritis score and limb swelling, which were measured by 2 independent, blinded observers up to the day before sacrifice.</w:t>
      </w:r>
    </w:p>
    <w:p w14:paraId="5816681E" w14:textId="3F3E965D" w:rsidR="007D06BE" w:rsidRPr="00241917" w:rsidRDefault="007D06BE" w:rsidP="007D06BE">
      <w:pPr>
        <w:ind w:firstLineChars="0" w:firstLine="0"/>
        <w:rPr>
          <w:noProof/>
          <w:color w:val="000000" w:themeColor="text1"/>
        </w:rPr>
      </w:pPr>
      <w:r w:rsidRPr="00241917">
        <w:rPr>
          <w:rFonts w:hint="eastAsia"/>
          <w:noProof/>
          <w:color w:val="000000" w:themeColor="text1"/>
        </w:rPr>
        <w:t>(</w:t>
      </w:r>
      <w:r w:rsidRPr="00241917">
        <w:rPr>
          <w:noProof/>
          <w:color w:val="000000" w:themeColor="text1"/>
        </w:rPr>
        <w:t>1) Arthritis prevalence was t</w:t>
      </w:r>
      <w:r w:rsidRPr="00241917">
        <w:rPr>
          <w:rFonts w:hint="eastAsia"/>
          <w:noProof/>
          <w:color w:val="000000" w:themeColor="text1"/>
        </w:rPr>
        <w:t>he</w:t>
      </w:r>
      <w:r w:rsidRPr="00241917">
        <w:rPr>
          <w:noProof/>
          <w:color w:val="000000" w:themeColor="text1"/>
        </w:rPr>
        <w:t xml:space="preserve"> number of arthritis rats divided by total number of rats in each group.</w:t>
      </w:r>
    </w:p>
    <w:p w14:paraId="056DD541" w14:textId="115476A2" w:rsidR="007D06BE" w:rsidRPr="00241917" w:rsidRDefault="007D06BE" w:rsidP="007D06BE">
      <w:pPr>
        <w:ind w:firstLineChars="0" w:firstLine="0"/>
        <w:rPr>
          <w:noProof/>
          <w:color w:val="000000" w:themeColor="text1"/>
        </w:rPr>
      </w:pPr>
      <w:r w:rsidRPr="00241917">
        <w:rPr>
          <w:rFonts w:hint="eastAsia"/>
          <w:noProof/>
          <w:color w:val="000000" w:themeColor="text1"/>
        </w:rPr>
        <w:t>(</w:t>
      </w:r>
      <w:r w:rsidRPr="00241917">
        <w:rPr>
          <w:noProof/>
          <w:color w:val="000000" w:themeColor="text1"/>
        </w:rPr>
        <w:t xml:space="preserve">2) The arthritis score was the total of the scores for all 4 limbs (maximum possible arthritis score </w:t>
      </w:r>
      <w:r w:rsidR="004F26BB" w:rsidRPr="00241917">
        <w:rPr>
          <w:rFonts w:hint="eastAsia"/>
          <w:noProof/>
          <w:color w:val="000000" w:themeColor="text1"/>
        </w:rPr>
        <w:t>40</w:t>
      </w:r>
      <w:r w:rsidRPr="00241917">
        <w:rPr>
          <w:noProof/>
          <w:color w:val="000000" w:themeColor="text1"/>
        </w:rPr>
        <w:t>).</w:t>
      </w:r>
    </w:p>
    <w:p w14:paraId="730D668A" w14:textId="3783026F" w:rsidR="007D06BE" w:rsidRPr="00241917" w:rsidRDefault="007D06BE" w:rsidP="007D06BE">
      <w:pPr>
        <w:ind w:firstLineChars="0" w:firstLine="0"/>
        <w:rPr>
          <w:noProof/>
          <w:color w:val="000000" w:themeColor="text1"/>
        </w:rPr>
      </w:pPr>
      <w:r w:rsidRPr="00241917">
        <w:rPr>
          <w:rFonts w:hint="eastAsia"/>
          <w:noProof/>
          <w:color w:val="000000" w:themeColor="text1"/>
        </w:rPr>
        <w:t>(</w:t>
      </w:r>
      <w:r w:rsidRPr="00241917">
        <w:rPr>
          <w:noProof/>
          <w:color w:val="000000" w:themeColor="text1"/>
        </w:rPr>
        <w:t>3) Hind paw thickness was measured by vernier caliper.</w:t>
      </w:r>
    </w:p>
    <w:p w14:paraId="541BB3D5" w14:textId="77777777" w:rsidR="007D06BE" w:rsidRPr="00241917" w:rsidRDefault="007D06BE" w:rsidP="00E63B3A">
      <w:pPr>
        <w:ind w:firstLineChars="0" w:firstLine="0"/>
        <w:rPr>
          <w:noProof/>
          <w:color w:val="000000" w:themeColor="text1"/>
        </w:rPr>
      </w:pPr>
    </w:p>
    <w:p w14:paraId="3E8C86CA" w14:textId="7BDE0AF1" w:rsidR="008D6EF2" w:rsidRPr="00241917" w:rsidRDefault="00241917" w:rsidP="00905462">
      <w:pPr>
        <w:ind w:firstLineChars="0" w:firstLine="0"/>
        <w:rPr>
          <w:i/>
          <w:iCs/>
          <w:noProof/>
          <w:color w:val="000000" w:themeColor="text1"/>
          <w:u w:val="single"/>
        </w:rPr>
      </w:pPr>
      <w:r w:rsidRPr="00241917">
        <w:rPr>
          <w:rFonts w:cs="Times New Roman"/>
          <w:color w:val="000000" w:themeColor="text1"/>
          <w:kern w:val="0"/>
          <w:szCs w:val="24"/>
        </w:rPr>
        <w:t>Additional file 1</w:t>
      </w:r>
      <w:r w:rsidRPr="00241917">
        <w:rPr>
          <w:rFonts w:cs="Times New Roman"/>
          <w:color w:val="000000" w:themeColor="text1"/>
          <w:kern w:val="0"/>
          <w:szCs w:val="24"/>
        </w:rPr>
        <w:t xml:space="preserve">: </w:t>
      </w:r>
      <w:r w:rsidR="003D534C" w:rsidRPr="00241917">
        <w:rPr>
          <w:i/>
          <w:iCs/>
          <w:noProof/>
          <w:color w:val="000000" w:themeColor="text1"/>
          <w:u w:val="single"/>
        </w:rPr>
        <w:t xml:space="preserve">Section </w:t>
      </w:r>
      <w:r w:rsidR="00CB7C21" w:rsidRPr="00241917">
        <w:rPr>
          <w:i/>
          <w:iCs/>
          <w:noProof/>
          <w:color w:val="000000" w:themeColor="text1"/>
          <w:u w:val="single"/>
        </w:rPr>
        <w:t>2</w:t>
      </w:r>
      <w:r w:rsidR="003D534C" w:rsidRPr="00241917">
        <w:rPr>
          <w:i/>
          <w:iCs/>
          <w:noProof/>
          <w:color w:val="000000" w:themeColor="text1"/>
          <w:u w:val="single"/>
        </w:rPr>
        <w:t xml:space="preserve">. </w:t>
      </w:r>
      <w:r w:rsidR="00A905E9" w:rsidRPr="00241917">
        <w:rPr>
          <w:i/>
          <w:iCs/>
          <w:noProof/>
          <w:color w:val="000000" w:themeColor="text1"/>
          <w:u w:val="single"/>
        </w:rPr>
        <w:t>The mean plasma concentration-time profiles of MG and GA from time 0 to 24 h after 21.4 g/kg BHGZD treatment</w:t>
      </w:r>
    </w:p>
    <w:p w14:paraId="1A10E697" w14:textId="4D6EDC30" w:rsidR="00634748" w:rsidRPr="00241917" w:rsidRDefault="00634748" w:rsidP="00905462">
      <w:pPr>
        <w:ind w:firstLineChars="0" w:firstLine="0"/>
        <w:rPr>
          <w:color w:val="000000" w:themeColor="text1"/>
        </w:rPr>
      </w:pPr>
      <w:bookmarkStart w:id="3" w:name="_Hlk136010142"/>
      <w:r w:rsidRPr="00241917">
        <w:rPr>
          <w:rFonts w:cs="Times New Roman"/>
          <w:color w:val="000000" w:themeColor="text1"/>
        </w:rPr>
        <w:t xml:space="preserve">In our previous study </w:t>
      </w:r>
      <w:r w:rsidRPr="00241917">
        <w:rPr>
          <w:rFonts w:cs="Times New Roman"/>
          <w:bCs/>
          <w:color w:val="000000" w:themeColor="text1"/>
        </w:rPr>
        <w:t xml:space="preserve">(Li </w:t>
      </w:r>
      <w:r w:rsidRPr="00241917">
        <w:rPr>
          <w:rFonts w:cs="Times New Roman"/>
          <w:bCs/>
          <w:i/>
          <w:iCs/>
          <w:color w:val="000000" w:themeColor="text1"/>
        </w:rPr>
        <w:t>et al</w:t>
      </w:r>
      <w:r w:rsidRPr="00241917">
        <w:rPr>
          <w:rFonts w:cs="Times New Roman"/>
          <w:bCs/>
          <w:color w:val="000000" w:themeColor="text1"/>
        </w:rPr>
        <w:t>., 2021)</w:t>
      </w:r>
      <w:r w:rsidRPr="00241917">
        <w:rPr>
          <w:rFonts w:cs="Times New Roman"/>
          <w:color w:val="000000" w:themeColor="text1"/>
        </w:rPr>
        <w:t xml:space="preserve">, </w:t>
      </w:r>
      <w:r w:rsidRPr="00241917">
        <w:rPr>
          <w:color w:val="000000" w:themeColor="text1"/>
        </w:rPr>
        <w:t xml:space="preserve">we determined the pharmacokinetic characteristics of </w:t>
      </w:r>
      <w:r w:rsidR="00DD5E7E" w:rsidRPr="00241917">
        <w:rPr>
          <w:color w:val="000000" w:themeColor="text1"/>
        </w:rPr>
        <w:t>Mangiferin (MG) and Glycyrrhizic Acid (GA)</w:t>
      </w:r>
      <w:r w:rsidRPr="00241917">
        <w:rPr>
          <w:color w:val="000000" w:themeColor="text1"/>
        </w:rPr>
        <w:t xml:space="preserve"> in the plasma of normal rats at different time points after BHGZD administration by UHPLC-QTRAP-MS/MS. As shown in</w:t>
      </w:r>
      <w:r w:rsidR="001F72EA" w:rsidRPr="00241917">
        <w:rPr>
          <w:color w:val="000000" w:themeColor="text1"/>
        </w:rPr>
        <w:t xml:space="preserve"> </w:t>
      </w:r>
      <w:r w:rsidR="001F72EA" w:rsidRPr="00241917">
        <w:rPr>
          <w:b/>
          <w:bCs/>
          <w:color w:val="000000" w:themeColor="text1"/>
        </w:rPr>
        <w:t>S</w:t>
      </w:r>
      <w:r w:rsidR="001F72EA" w:rsidRPr="00241917">
        <w:rPr>
          <w:rFonts w:hint="eastAsia"/>
          <w:b/>
          <w:bCs/>
          <w:color w:val="000000" w:themeColor="text1"/>
        </w:rPr>
        <w:t>upp</w:t>
      </w:r>
      <w:r w:rsidR="001F72EA" w:rsidRPr="00241917">
        <w:rPr>
          <w:b/>
          <w:bCs/>
          <w:color w:val="000000" w:themeColor="text1"/>
        </w:rPr>
        <w:t xml:space="preserve">lementary </w:t>
      </w:r>
      <w:r w:rsidRPr="00241917">
        <w:rPr>
          <w:b/>
          <w:bCs/>
          <w:color w:val="000000" w:themeColor="text1"/>
        </w:rPr>
        <w:t xml:space="preserve">Figure </w:t>
      </w:r>
      <w:r w:rsidR="00955332" w:rsidRPr="00241917">
        <w:rPr>
          <w:b/>
          <w:bCs/>
          <w:color w:val="000000" w:themeColor="text1"/>
        </w:rPr>
        <w:t>1</w:t>
      </w:r>
      <w:r w:rsidRPr="00241917">
        <w:rPr>
          <w:color w:val="000000" w:themeColor="text1"/>
        </w:rPr>
        <w:t>, the time to reach the maximum blood concentration of MG and GA within 24 h of gavage was 4 h and 4.7 h, respectively, and the maximum blood concentrations were 132.006 μg/L and 46.466 μg/L, respectively. The results showed that both MG and GA could be introduced into the blood, and there was a certain distribution of blood concentration in rats.</w:t>
      </w:r>
      <w:r w:rsidR="005E3E1B" w:rsidRPr="00241917">
        <w:rPr>
          <w:color w:val="000000" w:themeColor="text1"/>
        </w:rPr>
        <w:t xml:space="preserve"> </w:t>
      </w:r>
    </w:p>
    <w:p w14:paraId="156AE329" w14:textId="77777777" w:rsidR="00634748" w:rsidRPr="00241917" w:rsidRDefault="00634748" w:rsidP="00905462">
      <w:pPr>
        <w:ind w:firstLineChars="0" w:firstLine="0"/>
        <w:rPr>
          <w:i/>
          <w:iCs/>
          <w:noProof/>
          <w:color w:val="000000" w:themeColor="text1"/>
          <w:u w:val="single"/>
        </w:rPr>
      </w:pPr>
      <w:r w:rsidRPr="00241917">
        <w:rPr>
          <w:noProof/>
          <w:color w:val="000000" w:themeColor="text1"/>
          <w:lang w:val="en-IN" w:eastAsia="en-IN"/>
        </w:rPr>
        <w:drawing>
          <wp:inline distT="0" distB="0" distL="0" distR="0" wp14:anchorId="6E6C817D" wp14:editId="61414A3C">
            <wp:extent cx="5274310" cy="2239645"/>
            <wp:effectExtent l="0" t="0" r="0" b="0"/>
            <wp:docPr id="550680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94721" w14:textId="0E79950D" w:rsidR="00634748" w:rsidRPr="00241917" w:rsidRDefault="00241917" w:rsidP="00B95AD6">
      <w:pPr>
        <w:ind w:firstLineChars="0" w:firstLine="0"/>
        <w:jc w:val="center"/>
        <w:rPr>
          <w:color w:val="000000" w:themeColor="text1"/>
        </w:rPr>
      </w:pPr>
      <w:r w:rsidRPr="00241917">
        <w:rPr>
          <w:rFonts w:cs="Times New Roman"/>
          <w:color w:val="000000" w:themeColor="text1"/>
          <w:kern w:val="0"/>
          <w:szCs w:val="24"/>
        </w:rPr>
        <w:t>Additional file 1</w:t>
      </w:r>
      <w:r w:rsidRPr="00241917">
        <w:rPr>
          <w:rFonts w:cs="Times New Roman"/>
          <w:color w:val="000000" w:themeColor="text1"/>
          <w:kern w:val="0"/>
          <w:szCs w:val="24"/>
        </w:rPr>
        <w:t xml:space="preserve">: </w:t>
      </w:r>
      <w:r w:rsidR="001F72EA" w:rsidRPr="00241917">
        <w:rPr>
          <w:b/>
          <w:bCs/>
          <w:color w:val="000000" w:themeColor="text1"/>
        </w:rPr>
        <w:t>Figure 1</w:t>
      </w:r>
      <w:r w:rsidR="001F72EA" w:rsidRPr="00241917">
        <w:rPr>
          <w:color w:val="000000" w:themeColor="text1"/>
        </w:rPr>
        <w:t xml:space="preserve"> </w:t>
      </w:r>
      <w:r w:rsidR="00EA7D88" w:rsidRPr="00241917">
        <w:rPr>
          <w:color w:val="000000" w:themeColor="text1"/>
        </w:rPr>
        <w:t>The mean plasma concentration-time profiles of MG and GA from time 0 to 24 h after 21.4 g/kg BHGZD treatment</w:t>
      </w:r>
      <w:r w:rsidR="006F6EFE" w:rsidRPr="00241917">
        <w:rPr>
          <w:color w:val="000000" w:themeColor="text1"/>
        </w:rPr>
        <w:t xml:space="preserve"> (n = 3).</w:t>
      </w:r>
    </w:p>
    <w:p w14:paraId="534A8F69" w14:textId="77777777" w:rsidR="00634748" w:rsidRPr="00241917" w:rsidRDefault="00634748" w:rsidP="00905462">
      <w:pPr>
        <w:pStyle w:val="EndnoteText"/>
        <w:spacing w:line="360" w:lineRule="auto"/>
        <w:ind w:left="442" w:hangingChars="200" w:hanging="442"/>
        <w:jc w:val="both"/>
        <w:rPr>
          <w:b/>
          <w:bCs/>
          <w:color w:val="000000" w:themeColor="text1"/>
        </w:rPr>
      </w:pPr>
    </w:p>
    <w:p w14:paraId="4A43E9B1" w14:textId="79ABC50F" w:rsidR="00634748" w:rsidRPr="00241917" w:rsidRDefault="00241917" w:rsidP="00905462">
      <w:pPr>
        <w:ind w:firstLineChars="0" w:firstLine="0"/>
        <w:rPr>
          <w:i/>
          <w:iCs/>
          <w:noProof/>
          <w:color w:val="000000" w:themeColor="text1"/>
          <w:u w:val="single"/>
        </w:rPr>
      </w:pPr>
      <w:r w:rsidRPr="00241917">
        <w:rPr>
          <w:rFonts w:cs="Times New Roman"/>
          <w:color w:val="000000" w:themeColor="text1"/>
          <w:kern w:val="0"/>
          <w:szCs w:val="24"/>
        </w:rPr>
        <w:t>Additional file 1</w:t>
      </w:r>
      <w:r w:rsidRPr="00241917">
        <w:rPr>
          <w:rFonts w:cs="Times New Roman"/>
          <w:color w:val="000000" w:themeColor="text1"/>
          <w:kern w:val="0"/>
          <w:szCs w:val="24"/>
        </w:rPr>
        <w:t xml:space="preserve">: </w:t>
      </w:r>
      <w:r w:rsidR="00E05423" w:rsidRPr="00241917">
        <w:rPr>
          <w:i/>
          <w:iCs/>
          <w:noProof/>
          <w:color w:val="000000" w:themeColor="text1"/>
          <w:u w:val="single"/>
        </w:rPr>
        <w:t xml:space="preserve">Section </w:t>
      </w:r>
      <w:r w:rsidR="00CB7C21" w:rsidRPr="00241917">
        <w:rPr>
          <w:i/>
          <w:iCs/>
          <w:noProof/>
          <w:color w:val="000000" w:themeColor="text1"/>
          <w:u w:val="single"/>
        </w:rPr>
        <w:t>3</w:t>
      </w:r>
      <w:r w:rsidR="00E05423" w:rsidRPr="00241917">
        <w:rPr>
          <w:i/>
          <w:iCs/>
          <w:noProof/>
          <w:color w:val="000000" w:themeColor="text1"/>
          <w:u w:val="single"/>
        </w:rPr>
        <w:t>. Macroscopic evidence of arthritis in different groups</w:t>
      </w:r>
    </w:p>
    <w:p w14:paraId="158A54E1" w14:textId="27A4E848" w:rsidR="003D534C" w:rsidRPr="00241917" w:rsidRDefault="003D534C" w:rsidP="00905462">
      <w:pPr>
        <w:ind w:firstLineChars="0" w:firstLine="0"/>
        <w:rPr>
          <w:rFonts w:cs="Times New Roman"/>
          <w:color w:val="000000" w:themeColor="text1"/>
        </w:rPr>
      </w:pPr>
      <w:r w:rsidRPr="00241917">
        <w:rPr>
          <w:rFonts w:cs="Times New Roman"/>
          <w:color w:val="000000" w:themeColor="text1"/>
        </w:rPr>
        <w:t xml:space="preserve">In our previous study </w:t>
      </w:r>
      <w:r w:rsidRPr="00241917">
        <w:rPr>
          <w:rFonts w:cs="Times New Roman"/>
          <w:bCs/>
          <w:color w:val="000000" w:themeColor="text1"/>
        </w:rPr>
        <w:t xml:space="preserve">(Mao </w:t>
      </w:r>
      <w:r w:rsidRPr="00241917">
        <w:rPr>
          <w:rFonts w:cs="Times New Roman"/>
          <w:bCs/>
          <w:i/>
          <w:iCs/>
          <w:color w:val="000000" w:themeColor="text1"/>
        </w:rPr>
        <w:t>et al</w:t>
      </w:r>
      <w:r w:rsidRPr="00241917">
        <w:rPr>
          <w:rFonts w:cs="Times New Roman"/>
          <w:bCs/>
          <w:color w:val="000000" w:themeColor="text1"/>
        </w:rPr>
        <w:t>., 202</w:t>
      </w:r>
      <w:r w:rsidR="00C51A18" w:rsidRPr="00241917">
        <w:rPr>
          <w:rFonts w:cs="Times New Roman"/>
          <w:bCs/>
          <w:color w:val="000000" w:themeColor="text1"/>
        </w:rPr>
        <w:t>2</w:t>
      </w:r>
      <w:r w:rsidRPr="00241917">
        <w:rPr>
          <w:rFonts w:cs="Times New Roman"/>
          <w:bCs/>
          <w:color w:val="000000" w:themeColor="text1"/>
        </w:rPr>
        <w:t>)</w:t>
      </w:r>
      <w:r w:rsidRPr="00241917">
        <w:rPr>
          <w:rFonts w:cs="Times New Roman"/>
          <w:color w:val="000000" w:themeColor="text1"/>
        </w:rPr>
        <w:t>, based on the AIA-M rat model, we observed significant clinical signs, such as erythema and deformity, in the joints of rats in the AIA-M group, whereas the administration of both BHGZD and the two BACs-combination significantly improved the degree of arthropathy and reduced clinical arthritis scores and swelling in the right hind limb of the AIA-M rats (</w:t>
      </w:r>
      <w:r w:rsidR="00241917" w:rsidRPr="00241917">
        <w:rPr>
          <w:rFonts w:cs="Times New Roman"/>
          <w:color w:val="000000" w:themeColor="text1"/>
          <w:kern w:val="0"/>
          <w:szCs w:val="24"/>
        </w:rPr>
        <w:t>Additional file 1</w:t>
      </w:r>
      <w:r w:rsidR="00241917" w:rsidRPr="00241917">
        <w:rPr>
          <w:rFonts w:cs="Times New Roman"/>
          <w:color w:val="000000" w:themeColor="text1"/>
          <w:kern w:val="0"/>
          <w:szCs w:val="24"/>
        </w:rPr>
        <w:t xml:space="preserve">: </w:t>
      </w:r>
      <w:r w:rsidRPr="00241917">
        <w:rPr>
          <w:rFonts w:cs="Times New Roman"/>
          <w:b/>
          <w:bCs/>
          <w:color w:val="000000" w:themeColor="text1"/>
        </w:rPr>
        <w:t xml:space="preserve">Figure </w:t>
      </w:r>
      <w:r w:rsidR="00955332" w:rsidRPr="00241917">
        <w:rPr>
          <w:rFonts w:cs="Times New Roman"/>
          <w:b/>
          <w:bCs/>
          <w:color w:val="000000" w:themeColor="text1"/>
        </w:rPr>
        <w:t>2</w:t>
      </w:r>
      <w:r w:rsidRPr="00241917">
        <w:rPr>
          <w:rFonts w:cs="Times New Roman"/>
          <w:color w:val="000000" w:themeColor="text1"/>
        </w:rPr>
        <w:t>).</w:t>
      </w:r>
      <w:r w:rsidR="00E92A0F" w:rsidRPr="00241917">
        <w:rPr>
          <w:color w:val="000000" w:themeColor="text1"/>
        </w:rPr>
        <w:t xml:space="preserve"> </w:t>
      </w:r>
      <w:r w:rsidR="00C541EC" w:rsidRPr="00241917">
        <w:rPr>
          <w:rFonts w:cs="Times New Roman"/>
          <w:color w:val="000000" w:themeColor="text1"/>
        </w:rPr>
        <w:t xml:space="preserve">The arthritis and right hind limb swelling scores for evaluating the efficacy of BHGZD and BACs to improve arthritis in AIA-M rats can be seen in </w:t>
      </w:r>
      <w:r w:rsidR="00C541EC" w:rsidRPr="00241917">
        <w:rPr>
          <w:rFonts w:cs="Times New Roman"/>
          <w:b/>
          <w:bCs/>
          <w:color w:val="000000" w:themeColor="text1"/>
        </w:rPr>
        <w:t>Figure 3B~C</w:t>
      </w:r>
      <w:r w:rsidR="00C541EC" w:rsidRPr="00241917">
        <w:rPr>
          <w:rFonts w:cs="Times New Roman"/>
          <w:color w:val="000000" w:themeColor="text1"/>
        </w:rPr>
        <w:t xml:space="preserve"> in t</w:t>
      </w:r>
      <w:r w:rsidR="001F72EA" w:rsidRPr="00241917">
        <w:rPr>
          <w:rFonts w:cs="Times New Roman"/>
          <w:color w:val="000000" w:themeColor="text1"/>
        </w:rPr>
        <w:t>his manuscript</w:t>
      </w:r>
      <w:r w:rsidR="00C541EC" w:rsidRPr="00241917">
        <w:rPr>
          <w:rFonts w:cs="Times New Roman"/>
          <w:color w:val="000000" w:themeColor="text1"/>
        </w:rPr>
        <w:t>.</w:t>
      </w:r>
    </w:p>
    <w:p w14:paraId="30B353C1" w14:textId="70C60209" w:rsidR="003D534C" w:rsidRPr="00241917" w:rsidRDefault="003D534C" w:rsidP="00905462">
      <w:pPr>
        <w:ind w:firstLineChars="0" w:firstLine="0"/>
        <w:rPr>
          <w:rFonts w:cs="Times New Roman"/>
          <w:b/>
          <w:bCs/>
          <w:color w:val="000000" w:themeColor="text1"/>
        </w:rPr>
      </w:pPr>
      <w:r w:rsidRPr="00241917">
        <w:rPr>
          <w:noProof/>
          <w:color w:val="000000" w:themeColor="text1"/>
          <w:lang w:val="en-IN" w:eastAsia="en-IN"/>
        </w:rPr>
        <w:drawing>
          <wp:inline distT="0" distB="0" distL="0" distR="0" wp14:anchorId="7748FA5E" wp14:editId="2F3F78C3">
            <wp:extent cx="5274310" cy="945515"/>
            <wp:effectExtent l="0" t="0" r="2540" b="6985"/>
            <wp:docPr id="17412437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43708" name="图片 174124370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BB6F8" w14:textId="61A79BEE" w:rsidR="008D6EF2" w:rsidRPr="00241917" w:rsidRDefault="00241917" w:rsidP="00B95AD6">
      <w:pPr>
        <w:ind w:firstLineChars="0" w:firstLine="0"/>
        <w:jc w:val="center"/>
        <w:rPr>
          <w:rFonts w:cs="Times New Roman"/>
          <w:color w:val="000000" w:themeColor="text1"/>
        </w:rPr>
      </w:pPr>
      <w:r w:rsidRPr="00241917">
        <w:rPr>
          <w:rFonts w:cs="Times New Roman"/>
          <w:color w:val="000000" w:themeColor="text1"/>
          <w:kern w:val="0"/>
          <w:szCs w:val="24"/>
        </w:rPr>
        <w:t>Additional file 1</w:t>
      </w:r>
      <w:r w:rsidRPr="00241917">
        <w:rPr>
          <w:rFonts w:cs="Times New Roman"/>
          <w:color w:val="000000" w:themeColor="text1"/>
          <w:kern w:val="0"/>
          <w:szCs w:val="24"/>
        </w:rPr>
        <w:t xml:space="preserve">: </w:t>
      </w:r>
      <w:r w:rsidR="008D6EF2" w:rsidRPr="00241917">
        <w:rPr>
          <w:rFonts w:cs="Times New Roman"/>
          <w:b/>
          <w:bCs/>
          <w:color w:val="000000" w:themeColor="text1"/>
        </w:rPr>
        <w:t xml:space="preserve">Figure </w:t>
      </w:r>
      <w:r w:rsidR="00955332" w:rsidRPr="00241917">
        <w:rPr>
          <w:rFonts w:cs="Times New Roman"/>
          <w:b/>
          <w:bCs/>
          <w:color w:val="000000" w:themeColor="text1"/>
        </w:rPr>
        <w:t>2</w:t>
      </w:r>
      <w:r w:rsidR="008D6EF2" w:rsidRPr="00241917">
        <w:rPr>
          <w:rFonts w:cs="Times New Roman"/>
          <w:color w:val="000000" w:themeColor="text1"/>
        </w:rPr>
        <w:t xml:space="preserve"> </w:t>
      </w:r>
      <w:bookmarkEnd w:id="3"/>
      <w:r w:rsidR="001909C0" w:rsidRPr="00241917">
        <w:rPr>
          <w:rFonts w:cs="Times New Roman"/>
          <w:color w:val="000000" w:themeColor="text1"/>
        </w:rPr>
        <w:t>Macroscopic evidence of arthritis in different groups</w:t>
      </w:r>
      <w:r w:rsidR="006E684C" w:rsidRPr="00241917">
        <w:rPr>
          <w:rFonts w:cs="Times New Roman"/>
          <w:color w:val="000000" w:themeColor="text1"/>
        </w:rPr>
        <w:t>.</w:t>
      </w:r>
    </w:p>
    <w:p w14:paraId="329FA857" w14:textId="77777777" w:rsidR="009367D5" w:rsidRPr="00241917" w:rsidRDefault="009367D5" w:rsidP="00E52782">
      <w:pPr>
        <w:ind w:firstLineChars="0" w:firstLine="0"/>
        <w:rPr>
          <w:rFonts w:cs="Times New Roman"/>
          <w:color w:val="000000" w:themeColor="text1"/>
          <w:szCs w:val="24"/>
        </w:rPr>
      </w:pPr>
    </w:p>
    <w:p w14:paraId="544078BC" w14:textId="4D04BD6A" w:rsidR="008D6EF2" w:rsidRPr="00241917" w:rsidRDefault="008D6EF2" w:rsidP="008B5251">
      <w:pPr>
        <w:pStyle w:val="EndnoteText"/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241917">
        <w:rPr>
          <w:b/>
          <w:bCs/>
          <w:color w:val="000000" w:themeColor="text1"/>
          <w:sz w:val="24"/>
          <w:szCs w:val="24"/>
        </w:rPr>
        <w:t>References</w:t>
      </w:r>
    </w:p>
    <w:p w14:paraId="48649BE3" w14:textId="77777777" w:rsidR="008D6EF2" w:rsidRPr="00241917" w:rsidRDefault="008D6EF2" w:rsidP="00905462">
      <w:pPr>
        <w:pStyle w:val="EndnoteText"/>
        <w:spacing w:line="360" w:lineRule="auto"/>
        <w:ind w:left="480" w:hangingChars="200" w:hanging="480"/>
        <w:jc w:val="both"/>
        <w:rPr>
          <w:color w:val="000000" w:themeColor="text1"/>
          <w:sz w:val="24"/>
          <w:szCs w:val="24"/>
        </w:rPr>
      </w:pPr>
      <w:r w:rsidRPr="00241917">
        <w:rPr>
          <w:color w:val="000000" w:themeColor="text1"/>
          <w:sz w:val="24"/>
          <w:szCs w:val="24"/>
        </w:rPr>
        <w:t>Li, W., Mao, X., Wang, X., Liu, Y., Wang, K., Li, C., Li, T., Zhang, Y., Lin, N., 2021. Disease-Modifying Anti-rheumatic Drug Prescription Baihu-Guizhi Decoction Attenuates Rheumatoid Arthritis via Suppressing Toll-Like Receptor 4-mediated NLRP3 Inflammasome Activation. Front Pharmacol. 5;12:743086. doi: 10.3389/fphar.2021.743086.</w:t>
      </w:r>
    </w:p>
    <w:p w14:paraId="56BD3A44" w14:textId="60BF1C27" w:rsidR="008D6EF2" w:rsidRPr="00241917" w:rsidRDefault="00C51A18" w:rsidP="00905462">
      <w:pPr>
        <w:pStyle w:val="EndnoteText"/>
        <w:spacing w:line="360" w:lineRule="auto"/>
        <w:ind w:left="480" w:hangingChars="200" w:hanging="480"/>
        <w:jc w:val="both"/>
        <w:rPr>
          <w:color w:val="000000" w:themeColor="text1"/>
          <w:sz w:val="24"/>
          <w:szCs w:val="24"/>
        </w:rPr>
      </w:pPr>
      <w:r w:rsidRPr="00241917">
        <w:rPr>
          <w:color w:val="000000" w:themeColor="text1"/>
          <w:sz w:val="24"/>
          <w:szCs w:val="24"/>
        </w:rPr>
        <w:t>Mao, X., Liu, Y., Li, W., Wang, K., Li, C., Wang, Q., Chen, W., Ma, Z., Wang, X., Ding, Z., Zhang, Y., Lin, N. 2022. A promising drug combination of mangiferin and glycyrrhizic acid ameliorates disease severity of rheumatoid arthritis by reversing the disturbance of thermogenesis and energy metabolism. Phytomedicine. 104:154216. doi:10.1016/j.phymed.2022.154216</w:t>
      </w:r>
      <w:r w:rsidR="008D6EF2" w:rsidRPr="00241917">
        <w:rPr>
          <w:color w:val="000000" w:themeColor="text1"/>
          <w:sz w:val="24"/>
          <w:szCs w:val="24"/>
        </w:rPr>
        <w:t xml:space="preserve"> </w:t>
      </w:r>
    </w:p>
    <w:p w14:paraId="670E97F6" w14:textId="77777777" w:rsidR="009E1116" w:rsidRPr="00241917" w:rsidRDefault="009E1116" w:rsidP="00905462">
      <w:pPr>
        <w:ind w:firstLineChars="0" w:firstLine="0"/>
        <w:rPr>
          <w:color w:val="000000" w:themeColor="text1"/>
        </w:rPr>
      </w:pPr>
    </w:p>
    <w:sectPr w:rsidR="009E1116" w:rsidRPr="00241917" w:rsidSect="00241917">
      <w:type w:val="nextPage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C7DA2" w14:textId="77777777" w:rsidR="00B60F96" w:rsidRDefault="00B60F96" w:rsidP="007E53CA">
      <w:pPr>
        <w:spacing w:line="240" w:lineRule="auto"/>
        <w:ind w:firstLine="480"/>
      </w:pPr>
      <w:r>
        <w:separator/>
      </w:r>
    </w:p>
  </w:endnote>
  <w:endnote w:type="continuationSeparator" w:id="0">
    <w:p w14:paraId="05AB31C8" w14:textId="77777777" w:rsidR="00B60F96" w:rsidRDefault="00B60F96" w:rsidP="007E53C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16FEC" w14:textId="77777777" w:rsidR="007E53CA" w:rsidRDefault="007E53C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119582"/>
      <w:docPartObj>
        <w:docPartGallery w:val="Page Numbers (Bottom of Page)"/>
        <w:docPartUnique/>
      </w:docPartObj>
    </w:sdtPr>
    <w:sdtEndPr/>
    <w:sdtContent>
      <w:p w14:paraId="7AF684B3" w14:textId="664BD1EC" w:rsidR="007E53CA" w:rsidRDefault="007E53CA">
        <w:pPr>
          <w:pStyle w:val="Footer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A9CF9E" w14:textId="77777777" w:rsidR="007E53CA" w:rsidRDefault="007E53CA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B6D8D" w14:textId="77777777" w:rsidR="007E53CA" w:rsidRDefault="007E53CA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E778C" w14:textId="77777777" w:rsidR="00B60F96" w:rsidRDefault="00B60F96" w:rsidP="007E53CA">
      <w:pPr>
        <w:spacing w:line="240" w:lineRule="auto"/>
        <w:ind w:firstLine="480"/>
      </w:pPr>
      <w:r>
        <w:separator/>
      </w:r>
    </w:p>
  </w:footnote>
  <w:footnote w:type="continuationSeparator" w:id="0">
    <w:p w14:paraId="45B0DA8B" w14:textId="77777777" w:rsidR="00B60F96" w:rsidRDefault="00B60F96" w:rsidP="007E53C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41B7" w14:textId="77777777" w:rsidR="007E53CA" w:rsidRDefault="007E53CA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79785" w14:textId="77777777" w:rsidR="007E53CA" w:rsidRDefault="007E53CA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00CAD" w14:textId="77777777" w:rsidR="007E53CA" w:rsidRDefault="007E53CA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16A90"/>
    <w:multiLevelType w:val="hybridMultilevel"/>
    <w:tmpl w:val="AAB20270"/>
    <w:lvl w:ilvl="0" w:tplc="7196243A">
      <w:start w:val="1"/>
      <w:numFmt w:val="decimal"/>
      <w:lvlText w:val="（%1）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revisionView w:markup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B6"/>
    <w:rsid w:val="00013786"/>
    <w:rsid w:val="000146BD"/>
    <w:rsid w:val="000A6383"/>
    <w:rsid w:val="001231D0"/>
    <w:rsid w:val="00124962"/>
    <w:rsid w:val="0014245A"/>
    <w:rsid w:val="00181362"/>
    <w:rsid w:val="001909C0"/>
    <w:rsid w:val="00196017"/>
    <w:rsid w:val="001A054D"/>
    <w:rsid w:val="001C6B5F"/>
    <w:rsid w:val="001F72EA"/>
    <w:rsid w:val="00211DF8"/>
    <w:rsid w:val="00241917"/>
    <w:rsid w:val="0027297B"/>
    <w:rsid w:val="002B1BF3"/>
    <w:rsid w:val="002C1DF5"/>
    <w:rsid w:val="003170ED"/>
    <w:rsid w:val="00347395"/>
    <w:rsid w:val="00382FF1"/>
    <w:rsid w:val="003858A1"/>
    <w:rsid w:val="003D534C"/>
    <w:rsid w:val="00414201"/>
    <w:rsid w:val="004277CB"/>
    <w:rsid w:val="00441F10"/>
    <w:rsid w:val="004457EE"/>
    <w:rsid w:val="00455E77"/>
    <w:rsid w:val="0047474E"/>
    <w:rsid w:val="00486FC0"/>
    <w:rsid w:val="00492C62"/>
    <w:rsid w:val="004C0D5D"/>
    <w:rsid w:val="004F26BB"/>
    <w:rsid w:val="00551B77"/>
    <w:rsid w:val="00587209"/>
    <w:rsid w:val="005C4524"/>
    <w:rsid w:val="005E24F8"/>
    <w:rsid w:val="005E3E1B"/>
    <w:rsid w:val="005E797D"/>
    <w:rsid w:val="00632E4C"/>
    <w:rsid w:val="00634748"/>
    <w:rsid w:val="006632AA"/>
    <w:rsid w:val="00680107"/>
    <w:rsid w:val="0069140B"/>
    <w:rsid w:val="006D17DA"/>
    <w:rsid w:val="006E684C"/>
    <w:rsid w:val="006F6EFE"/>
    <w:rsid w:val="00774F4B"/>
    <w:rsid w:val="00793B2C"/>
    <w:rsid w:val="007D06BE"/>
    <w:rsid w:val="007E143E"/>
    <w:rsid w:val="007E53CA"/>
    <w:rsid w:val="00803A34"/>
    <w:rsid w:val="00845D74"/>
    <w:rsid w:val="008A59F6"/>
    <w:rsid w:val="008B5251"/>
    <w:rsid w:val="008D6EF2"/>
    <w:rsid w:val="008E4664"/>
    <w:rsid w:val="00905462"/>
    <w:rsid w:val="00925705"/>
    <w:rsid w:val="00930025"/>
    <w:rsid w:val="009367D5"/>
    <w:rsid w:val="00953166"/>
    <w:rsid w:val="00955332"/>
    <w:rsid w:val="00965E7E"/>
    <w:rsid w:val="00967160"/>
    <w:rsid w:val="009A448F"/>
    <w:rsid w:val="009E1116"/>
    <w:rsid w:val="009E76B4"/>
    <w:rsid w:val="00A16EBE"/>
    <w:rsid w:val="00A27E83"/>
    <w:rsid w:val="00A4301F"/>
    <w:rsid w:val="00A535FF"/>
    <w:rsid w:val="00A73B46"/>
    <w:rsid w:val="00A85451"/>
    <w:rsid w:val="00A905E9"/>
    <w:rsid w:val="00AC7603"/>
    <w:rsid w:val="00AE5E6F"/>
    <w:rsid w:val="00AF503E"/>
    <w:rsid w:val="00B60F96"/>
    <w:rsid w:val="00B95AD6"/>
    <w:rsid w:val="00BA5CA6"/>
    <w:rsid w:val="00BB1295"/>
    <w:rsid w:val="00C51A18"/>
    <w:rsid w:val="00C541EC"/>
    <w:rsid w:val="00C904D3"/>
    <w:rsid w:val="00CB08EB"/>
    <w:rsid w:val="00CB7C21"/>
    <w:rsid w:val="00CC2BDC"/>
    <w:rsid w:val="00D15EB6"/>
    <w:rsid w:val="00D31D73"/>
    <w:rsid w:val="00D45792"/>
    <w:rsid w:val="00D45C6C"/>
    <w:rsid w:val="00D623A2"/>
    <w:rsid w:val="00DA149A"/>
    <w:rsid w:val="00DD5E7E"/>
    <w:rsid w:val="00E05423"/>
    <w:rsid w:val="00E52782"/>
    <w:rsid w:val="00E534B1"/>
    <w:rsid w:val="00E63B3A"/>
    <w:rsid w:val="00E7348E"/>
    <w:rsid w:val="00E92A0F"/>
    <w:rsid w:val="00EA7D88"/>
    <w:rsid w:val="00F03C89"/>
    <w:rsid w:val="00F615EB"/>
    <w:rsid w:val="00F74E2A"/>
    <w:rsid w:val="00F87C82"/>
    <w:rsid w:val="00FA1C54"/>
    <w:rsid w:val="00FB7CAA"/>
    <w:rsid w:val="00FE4301"/>
    <w:rsid w:val="00F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0785F"/>
  <w15:chartTrackingRefBased/>
  <w15:docId w15:val="{236DB405-C948-40EB-B4B4-134D3BDB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EB6"/>
    <w:pPr>
      <w:widowControl w:val="0"/>
      <w:spacing w:line="360" w:lineRule="auto"/>
      <w:ind w:firstLineChars="200" w:firstLine="200"/>
      <w:jc w:val="both"/>
    </w:pPr>
    <w:rPr>
      <w:rFonts w:ascii="Times New Roman" w:eastAsia="SimSu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F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4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14245A"/>
  </w:style>
  <w:style w:type="character" w:customStyle="1" w:styleId="Heading1Char">
    <w:name w:val="Heading 1 Char"/>
    <w:basedOn w:val="DefaultParagraphFont"/>
    <w:link w:val="Heading1"/>
    <w:uiPriority w:val="9"/>
    <w:rsid w:val="00FF2FDA"/>
    <w:rPr>
      <w:rFonts w:ascii="Times New Roman" w:eastAsia="SimSun" w:hAnsi="Times New Roman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FF2FDA"/>
    <w:pPr>
      <w:widowControl/>
      <w:spacing w:before="240" w:after="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FF2FDA"/>
    <w:pPr>
      <w:widowControl/>
      <w:spacing w:after="100" w:line="259" w:lineRule="auto"/>
      <w:ind w:left="220" w:firstLineChars="0" w:firstLine="0"/>
      <w:jc w:val="left"/>
    </w:pPr>
    <w:rPr>
      <w:rFonts w:asciiTheme="minorHAnsi" w:eastAsiaTheme="minorEastAsia" w:hAnsiTheme="minorHAnsi"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FF2FDA"/>
    <w:pPr>
      <w:widowControl/>
      <w:spacing w:after="100" w:line="259" w:lineRule="auto"/>
      <w:ind w:firstLineChars="0" w:firstLine="0"/>
      <w:jc w:val="left"/>
    </w:pPr>
    <w:rPr>
      <w:rFonts w:asciiTheme="minorHAnsi" w:eastAsiaTheme="minorEastAsia" w:hAnsiTheme="minorHAnsi"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FF2FDA"/>
    <w:pPr>
      <w:widowControl/>
      <w:spacing w:after="100" w:line="259" w:lineRule="auto"/>
      <w:ind w:left="440" w:firstLineChars="0" w:firstLine="0"/>
      <w:jc w:val="left"/>
    </w:pPr>
    <w:rPr>
      <w:rFonts w:asciiTheme="minorHAnsi" w:eastAsiaTheme="minorEastAsia" w:hAnsiTheme="minorHAnsi" w:cs="Times New Roman"/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7E5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E53CA"/>
    <w:rPr>
      <w:rFonts w:ascii="Times New Roman" w:eastAsia="SimSu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E53C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E53CA"/>
    <w:rPr>
      <w:rFonts w:ascii="Times New Roman" w:eastAsia="SimSun" w:hAnsi="Times New Roman"/>
      <w:sz w:val="18"/>
      <w:szCs w:val="18"/>
    </w:rPr>
  </w:style>
  <w:style w:type="paragraph" w:customStyle="1" w:styleId="SupplementaryMaterial">
    <w:name w:val="Supplementary Material"/>
    <w:basedOn w:val="Title"/>
    <w:next w:val="Title"/>
    <w:qFormat/>
    <w:rsid w:val="006D17DA"/>
    <w:pPr>
      <w:widowControl/>
      <w:suppressLineNumbers/>
      <w:spacing w:after="120" w:line="240" w:lineRule="auto"/>
      <w:ind w:firstLineChars="0" w:firstLine="0"/>
      <w:outlineLvl w:val="9"/>
    </w:pPr>
    <w:rPr>
      <w:rFonts w:ascii="Times New Roman" w:eastAsia="SimSun" w:hAnsi="Times New Roman" w:cs="Times New Roman"/>
      <w:bCs w:val="0"/>
      <w:i/>
      <w:kern w:val="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D17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D17D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EndnoteText">
    <w:name w:val="endnote text"/>
    <w:basedOn w:val="Normal"/>
    <w:link w:val="EndnoteTextChar"/>
    <w:uiPriority w:val="99"/>
    <w:unhideWhenUsed/>
    <w:rsid w:val="008D6EF2"/>
    <w:pPr>
      <w:snapToGrid w:val="0"/>
      <w:spacing w:line="240" w:lineRule="auto"/>
      <w:ind w:firstLineChars="0" w:firstLine="0"/>
      <w:jc w:val="left"/>
    </w:pPr>
    <w:rPr>
      <w:sz w:val="22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D6EF2"/>
    <w:rPr>
      <w:rFonts w:ascii="Times New Roman" w:eastAsia="SimSun" w:hAnsi="Times New Roman"/>
      <w:sz w:val="22"/>
    </w:rPr>
  </w:style>
  <w:style w:type="paragraph" w:styleId="ListParagraph">
    <w:name w:val="List Paragraph"/>
    <w:basedOn w:val="Normal"/>
    <w:uiPriority w:val="34"/>
    <w:qFormat/>
    <w:rsid w:val="007D06BE"/>
    <w:pPr>
      <w:ind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BB129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29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295"/>
    <w:rPr>
      <w:rFonts w:ascii="Times New Roman" w:eastAsia="SimSu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295"/>
    <w:rPr>
      <w:rFonts w:ascii="Times New Roman" w:eastAsia="SimSu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DF6F1-03E9-412B-9AEF-72EBA2B5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 向英</dc:creator>
  <cp:keywords/>
  <dc:description/>
  <cp:lastModifiedBy>Sindhu Chinnaiyan</cp:lastModifiedBy>
  <cp:revision>86</cp:revision>
  <dcterms:created xsi:type="dcterms:W3CDTF">2023-04-25T07:46:00Z</dcterms:created>
  <dcterms:modified xsi:type="dcterms:W3CDTF">2023-11-25T02:00:00Z</dcterms:modified>
</cp:coreProperties>
</file>