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1552FC">
      <w:pPr>
        <w:jc w:val="both"/>
        <w:rPr>
          <w:rFonts w:ascii="Times New Roman" w:hAnsi="Times New Roman" w:eastAsia="华文细黑" w:cs="Times New Roman"/>
          <w:color w:val="000000" w:themeColor="text1"/>
          <w:sz w:val="21"/>
          <w:szCs w:val="21"/>
          <w14:textFill>
            <w14:solidFill>
              <w14:schemeClr w14:val="tx1"/>
            </w14:solidFill>
          </w14:textFill>
        </w:rPr>
      </w:pPr>
      <w:r>
        <w:rPr>
          <w:rFonts w:ascii="Times New Roman" w:hAnsi="Times New Roman" w:eastAsia="华文细黑" w:cs="Times New Roman"/>
          <w:b/>
          <w:bCs/>
          <w:color w:val="000000" w:themeColor="text1"/>
          <w:sz w:val="21"/>
          <w:szCs w:val="21"/>
          <w14:textFill>
            <w14:solidFill>
              <w14:schemeClr w14:val="tx1"/>
            </w14:solidFill>
          </w14:textFill>
        </w:rPr>
        <w:t xml:space="preserve">Table 1 </w:t>
      </w:r>
      <w:r>
        <w:rPr>
          <w:rFonts w:ascii="Times New Roman" w:hAnsi="Times New Roman" w:eastAsia="华文细黑" w:cs="Times New Roman"/>
          <w:color w:val="000000" w:themeColor="text1"/>
          <w:sz w:val="21"/>
          <w:szCs w:val="21"/>
          <w:highlight w:val="none"/>
          <w14:textFill>
            <w14:solidFill>
              <w14:schemeClr w14:val="tx1"/>
            </w14:solidFill>
          </w14:textFill>
        </w:rPr>
        <w:t>Information on the use of primary antibodies</w:t>
      </w:r>
    </w:p>
    <w:tbl>
      <w:tblPr>
        <w:tblStyle w:val="3"/>
        <w:tblW w:w="0" w:type="auto"/>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3205"/>
        <w:gridCol w:w="1180"/>
        <w:gridCol w:w="1320"/>
        <w:gridCol w:w="2817"/>
      </w:tblGrid>
      <w:tr w14:paraId="00CBE38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Borders>
              <w:top w:val="single" w:color="auto" w:sz="4" w:space="0"/>
              <w:bottom w:val="single" w:color="auto" w:sz="4" w:space="0"/>
            </w:tcBorders>
          </w:tcPr>
          <w:p w14:paraId="7362E37B">
            <w:pPr>
              <w:jc w:val="both"/>
              <w:rPr>
                <w:rFonts w:ascii="Times New Roman" w:hAnsi="Times New Roman" w:eastAsia="华文细黑" w:cs="Times New Roman"/>
                <w:b/>
                <w:bCs/>
                <w:sz w:val="21"/>
                <w:szCs w:val="21"/>
              </w:rPr>
            </w:pPr>
            <w:r>
              <w:rPr>
                <w:rFonts w:ascii="Times New Roman" w:hAnsi="Times New Roman" w:eastAsia="华文细黑" w:cs="Times New Roman"/>
                <w:b/>
                <w:bCs/>
                <w:sz w:val="21"/>
                <w:szCs w:val="21"/>
              </w:rPr>
              <w:t xml:space="preserve">Antibody </w:t>
            </w:r>
          </w:p>
        </w:tc>
        <w:tc>
          <w:tcPr>
            <w:tcW w:w="1180" w:type="dxa"/>
            <w:tcBorders>
              <w:top w:val="single" w:color="auto" w:sz="4" w:space="0"/>
              <w:bottom w:val="single" w:color="auto" w:sz="4" w:space="0"/>
            </w:tcBorders>
          </w:tcPr>
          <w:p w14:paraId="03189DDB">
            <w:pPr>
              <w:jc w:val="both"/>
              <w:rPr>
                <w:rFonts w:ascii="Times New Roman" w:hAnsi="Times New Roman" w:eastAsia="华文细黑" w:cs="Times New Roman"/>
                <w:b/>
                <w:bCs/>
                <w:sz w:val="21"/>
                <w:szCs w:val="21"/>
              </w:rPr>
            </w:pPr>
            <w:r>
              <w:rPr>
                <w:rFonts w:ascii="Times New Roman" w:hAnsi="Times New Roman" w:eastAsia="华文细黑" w:cs="Times New Roman"/>
                <w:b/>
                <w:bCs/>
                <w:sz w:val="21"/>
                <w:szCs w:val="21"/>
              </w:rPr>
              <w:t xml:space="preserve">Species </w:t>
            </w:r>
          </w:p>
        </w:tc>
        <w:tc>
          <w:tcPr>
            <w:tcW w:w="1320" w:type="dxa"/>
            <w:tcBorders>
              <w:top w:val="single" w:color="auto" w:sz="4" w:space="0"/>
              <w:bottom w:val="single" w:color="auto" w:sz="4" w:space="0"/>
            </w:tcBorders>
          </w:tcPr>
          <w:p w14:paraId="336B48BA">
            <w:pPr>
              <w:jc w:val="both"/>
              <w:rPr>
                <w:rFonts w:ascii="Times New Roman" w:hAnsi="Times New Roman" w:eastAsia="华文细黑" w:cs="Times New Roman"/>
                <w:b/>
                <w:bCs/>
                <w:sz w:val="21"/>
                <w:szCs w:val="21"/>
              </w:rPr>
            </w:pPr>
            <w:r>
              <w:rPr>
                <w:rFonts w:ascii="Times New Roman" w:hAnsi="Times New Roman" w:eastAsia="华文细黑" w:cs="Times New Roman"/>
                <w:b/>
                <w:bCs/>
                <w:sz w:val="21"/>
                <w:szCs w:val="21"/>
              </w:rPr>
              <w:t xml:space="preserve">Dilution </w:t>
            </w:r>
          </w:p>
        </w:tc>
        <w:tc>
          <w:tcPr>
            <w:tcW w:w="2817" w:type="dxa"/>
            <w:tcBorders>
              <w:top w:val="single" w:color="auto" w:sz="4" w:space="0"/>
              <w:bottom w:val="single" w:color="auto" w:sz="4" w:space="0"/>
            </w:tcBorders>
          </w:tcPr>
          <w:p w14:paraId="4ED61C29">
            <w:pPr>
              <w:jc w:val="both"/>
              <w:rPr>
                <w:rFonts w:ascii="Times New Roman" w:hAnsi="Times New Roman" w:eastAsia="华文细黑" w:cs="Times New Roman"/>
                <w:b/>
                <w:bCs/>
                <w:sz w:val="21"/>
                <w:szCs w:val="21"/>
              </w:rPr>
            </w:pPr>
            <w:r>
              <w:rPr>
                <w:rFonts w:ascii="Times New Roman" w:hAnsi="Times New Roman" w:eastAsia="华文细黑" w:cs="Times New Roman"/>
                <w:b/>
                <w:bCs/>
                <w:sz w:val="21"/>
                <w:szCs w:val="21"/>
              </w:rPr>
              <w:t>Source</w:t>
            </w:r>
          </w:p>
        </w:tc>
      </w:tr>
      <w:tr w14:paraId="7329E3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7A4C7144">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Transient receptor potential vanilloid 1 (TRPV1)</w:t>
            </w:r>
          </w:p>
        </w:tc>
        <w:tc>
          <w:tcPr>
            <w:tcW w:w="1180" w:type="dxa"/>
          </w:tcPr>
          <w:p w14:paraId="25F2B401">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5CF92A2C">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64ECD71F">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Abcam</w:t>
            </w:r>
          </w:p>
        </w:tc>
      </w:tr>
      <w:tr w14:paraId="622BB2C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7B7CEB22">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Choline acetyl transferase (ChAT)</w:t>
            </w:r>
          </w:p>
        </w:tc>
        <w:tc>
          <w:tcPr>
            <w:tcW w:w="1180" w:type="dxa"/>
          </w:tcPr>
          <w:p w14:paraId="7C70CA39">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Rabbit</w:t>
            </w:r>
          </w:p>
        </w:tc>
        <w:tc>
          <w:tcPr>
            <w:tcW w:w="1320" w:type="dxa"/>
            <w:noWrap/>
          </w:tcPr>
          <w:p w14:paraId="30AD9861">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1C07B80B">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Abcam</w:t>
            </w:r>
          </w:p>
        </w:tc>
      </w:tr>
      <w:tr w14:paraId="0091683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099A3F55">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PGP9.5</w:t>
            </w:r>
          </w:p>
        </w:tc>
        <w:tc>
          <w:tcPr>
            <w:tcW w:w="1180" w:type="dxa"/>
          </w:tcPr>
          <w:p w14:paraId="643B0B8C">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Rabbit</w:t>
            </w:r>
          </w:p>
        </w:tc>
        <w:tc>
          <w:tcPr>
            <w:tcW w:w="1320" w:type="dxa"/>
            <w:noWrap/>
          </w:tcPr>
          <w:p w14:paraId="0E2D5B0D">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4C5B6482">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Abcam</w:t>
            </w:r>
          </w:p>
        </w:tc>
      </w:tr>
      <w:tr w14:paraId="14A920D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0D4AD0FA">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Calcitonin gene–related peptide (CGRP)</w:t>
            </w:r>
          </w:p>
        </w:tc>
        <w:tc>
          <w:tcPr>
            <w:tcW w:w="1180" w:type="dxa"/>
          </w:tcPr>
          <w:p w14:paraId="649F7006">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Rabbit</w:t>
            </w:r>
          </w:p>
        </w:tc>
        <w:tc>
          <w:tcPr>
            <w:tcW w:w="1320" w:type="dxa"/>
            <w:noWrap/>
          </w:tcPr>
          <w:p w14:paraId="6D894ED2">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611DBFC5">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Abcam</w:t>
            </w:r>
          </w:p>
        </w:tc>
      </w:tr>
      <w:tr w14:paraId="071B34C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49C9EF8C">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Tyrosine hydroxylase (TH)</w:t>
            </w:r>
          </w:p>
        </w:tc>
        <w:tc>
          <w:tcPr>
            <w:tcW w:w="1180" w:type="dxa"/>
          </w:tcPr>
          <w:p w14:paraId="5678E9D5">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194A8F88">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52116F16">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Santa Cruz</w:t>
            </w:r>
          </w:p>
        </w:tc>
      </w:tr>
      <w:tr w14:paraId="2D58566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02BCD8F2">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Glial cell-derived neurotrophic factor (GDNF)</w:t>
            </w:r>
          </w:p>
        </w:tc>
        <w:tc>
          <w:tcPr>
            <w:tcW w:w="1180" w:type="dxa"/>
          </w:tcPr>
          <w:p w14:paraId="496B10D8">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751AFAF1">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547F964F">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Santa Cruz</w:t>
            </w:r>
          </w:p>
        </w:tc>
      </w:tr>
      <w:tr w14:paraId="37F84C5B">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0BAA33D8">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Glial fibrillary acidic protein (GFAP)</w:t>
            </w:r>
          </w:p>
        </w:tc>
        <w:tc>
          <w:tcPr>
            <w:tcW w:w="1180" w:type="dxa"/>
          </w:tcPr>
          <w:p w14:paraId="73F0C87E">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2E148AEB">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1：1000</w:t>
            </w:r>
          </w:p>
        </w:tc>
        <w:tc>
          <w:tcPr>
            <w:tcW w:w="2817" w:type="dxa"/>
            <w:noWrap/>
          </w:tcPr>
          <w:p w14:paraId="6B46AE6D">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Signalway Antibody</w:t>
            </w:r>
          </w:p>
        </w:tc>
      </w:tr>
      <w:tr w14:paraId="505065C7">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600B00F6">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F4/80</w:t>
            </w:r>
          </w:p>
        </w:tc>
        <w:tc>
          <w:tcPr>
            <w:tcW w:w="1180" w:type="dxa"/>
          </w:tcPr>
          <w:p w14:paraId="6B976209">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4F174139">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1：500</w:t>
            </w:r>
          </w:p>
        </w:tc>
        <w:tc>
          <w:tcPr>
            <w:tcW w:w="2817" w:type="dxa"/>
            <w:noWrap/>
          </w:tcPr>
          <w:p w14:paraId="48B3CE52">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Santa Cruz</w:t>
            </w:r>
          </w:p>
        </w:tc>
      </w:tr>
      <w:tr w14:paraId="4E662DF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205" w:type="dxa"/>
          </w:tcPr>
          <w:p w14:paraId="0D413F99">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 xml:space="preserve">Receptor </w:t>
            </w:r>
            <w:r>
              <w:rPr>
                <w:rFonts w:hint="eastAsia" w:ascii="Times New Roman" w:hAnsi="Times New Roman" w:eastAsia="华文细黑" w:cs="Times New Roman"/>
                <w:sz w:val="21"/>
                <w:szCs w:val="21"/>
                <w:lang w:val="en-US" w:eastAsia="zh-CN"/>
              </w:rPr>
              <w:t>a</w:t>
            </w:r>
            <w:r>
              <w:rPr>
                <w:rFonts w:ascii="Times New Roman" w:hAnsi="Times New Roman" w:eastAsia="华文细黑" w:cs="Times New Roman"/>
                <w:sz w:val="21"/>
                <w:szCs w:val="21"/>
              </w:rPr>
              <w:t xml:space="preserve">ctivity </w:t>
            </w:r>
            <w:r>
              <w:rPr>
                <w:rFonts w:hint="eastAsia" w:ascii="Times New Roman" w:hAnsi="Times New Roman" w:eastAsia="华文细黑" w:cs="Times New Roman"/>
                <w:sz w:val="21"/>
                <w:szCs w:val="21"/>
                <w:lang w:val="en-US" w:eastAsia="zh-CN"/>
              </w:rPr>
              <w:t>m</w:t>
            </w:r>
            <w:r>
              <w:rPr>
                <w:rFonts w:ascii="Times New Roman" w:hAnsi="Times New Roman" w:eastAsia="华文细黑" w:cs="Times New Roman"/>
                <w:sz w:val="21"/>
                <w:szCs w:val="21"/>
              </w:rPr>
              <w:t xml:space="preserve">odifying </w:t>
            </w:r>
            <w:r>
              <w:rPr>
                <w:rFonts w:hint="eastAsia" w:ascii="Times New Roman" w:hAnsi="Times New Roman" w:eastAsia="华文细黑" w:cs="Times New Roman"/>
                <w:sz w:val="21"/>
                <w:szCs w:val="21"/>
                <w:lang w:val="en-US" w:eastAsia="zh-CN"/>
              </w:rPr>
              <w:t>p</w:t>
            </w:r>
            <w:r>
              <w:rPr>
                <w:rFonts w:ascii="Times New Roman" w:hAnsi="Times New Roman" w:eastAsia="华文细黑" w:cs="Times New Roman"/>
                <w:sz w:val="21"/>
                <w:szCs w:val="21"/>
              </w:rPr>
              <w:t>rotein1 (</w:t>
            </w:r>
            <w:r>
              <w:rPr>
                <w:rFonts w:hint="eastAsia" w:ascii="Times New Roman" w:hAnsi="Times New Roman" w:eastAsia="华文细黑" w:cs="Times New Roman"/>
                <w:sz w:val="21"/>
                <w:szCs w:val="21"/>
                <w:lang w:val="en-US" w:eastAsia="zh-CN"/>
              </w:rPr>
              <w:t>RAMP1</w:t>
            </w:r>
            <w:r>
              <w:rPr>
                <w:rFonts w:ascii="Times New Roman" w:hAnsi="Times New Roman" w:eastAsia="华文细黑" w:cs="Times New Roman"/>
                <w:sz w:val="21"/>
                <w:szCs w:val="21"/>
              </w:rPr>
              <w:t>)</w:t>
            </w:r>
          </w:p>
        </w:tc>
        <w:tc>
          <w:tcPr>
            <w:tcW w:w="1180" w:type="dxa"/>
          </w:tcPr>
          <w:p w14:paraId="1B87BA48">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Mouse</w:t>
            </w:r>
          </w:p>
        </w:tc>
        <w:tc>
          <w:tcPr>
            <w:tcW w:w="1320" w:type="dxa"/>
            <w:noWrap/>
          </w:tcPr>
          <w:p w14:paraId="3C4A0127">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1：500</w:t>
            </w:r>
          </w:p>
        </w:tc>
        <w:tc>
          <w:tcPr>
            <w:tcW w:w="2817" w:type="dxa"/>
            <w:noWrap/>
          </w:tcPr>
          <w:p w14:paraId="2284D38D">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Santa Cruz</w:t>
            </w:r>
          </w:p>
        </w:tc>
      </w:tr>
      <w:tr w14:paraId="5023606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Pr>
          <w:p w14:paraId="3C08F5F1">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Vinculin</w:t>
            </w:r>
          </w:p>
        </w:tc>
        <w:tc>
          <w:tcPr>
            <w:tcW w:w="0" w:type="auto"/>
          </w:tcPr>
          <w:p w14:paraId="7C7C8010">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Rabbit</w:t>
            </w:r>
          </w:p>
        </w:tc>
        <w:tc>
          <w:tcPr>
            <w:tcW w:w="0" w:type="auto"/>
          </w:tcPr>
          <w:p w14:paraId="144B8F6D">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1:2000</w:t>
            </w:r>
          </w:p>
        </w:tc>
        <w:tc>
          <w:tcPr>
            <w:tcW w:w="0" w:type="auto"/>
          </w:tcPr>
          <w:p w14:paraId="5519D54B">
            <w:pPr>
              <w:jc w:val="both"/>
              <w:rPr>
                <w:rFonts w:ascii="Times New Roman" w:hAnsi="Times New Roman" w:eastAsia="华文细黑" w:cs="Times New Roman"/>
                <w:sz w:val="21"/>
                <w:szCs w:val="21"/>
              </w:rPr>
            </w:pPr>
            <w:r>
              <w:rPr>
                <w:rFonts w:ascii="Times New Roman" w:hAnsi="Times New Roman" w:eastAsia="华文细黑" w:cs="Times New Roman"/>
                <w:sz w:val="21"/>
                <w:szCs w:val="21"/>
              </w:rPr>
              <w:t>Abcam</w:t>
            </w:r>
          </w:p>
        </w:tc>
      </w:tr>
      <w:tr w14:paraId="440FE7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0" w:type="auto"/>
          </w:tcPr>
          <w:p w14:paraId="587A0ADD">
            <w:pPr>
              <w:jc w:val="both"/>
              <w:rPr>
                <w:rFonts w:ascii="Times New Roman" w:hAnsi="Times New Roman" w:eastAsia="华文细黑" w:cs="Times New Roman"/>
                <w:sz w:val="21"/>
                <w:szCs w:val="21"/>
              </w:rPr>
            </w:pPr>
            <w:r>
              <w:rPr>
                <w:rFonts w:ascii="Times New Roman" w:hAnsi="Times New Roman" w:eastAsia="华文细黑" w:cs="Times New Roman"/>
                <w:b w:val="0"/>
                <w:bCs w:val="0"/>
                <w:color w:val="000000" w:themeColor="text1"/>
                <w:sz w:val="21"/>
                <w:szCs w:val="21"/>
                <w14:textFill>
                  <w14:solidFill>
                    <w14:schemeClr w14:val="tx1"/>
                  </w14:solidFill>
                </w14:textFill>
              </w:rPr>
              <w:t>β</w:t>
            </w:r>
            <w:r>
              <w:rPr>
                <w:rFonts w:hint="eastAsia" w:ascii="Times New Roman" w:hAnsi="Times New Roman" w:eastAsia="华文细黑" w:cs="Times New Roman"/>
                <w:b w:val="0"/>
                <w:bCs w:val="0"/>
                <w:color w:val="000000" w:themeColor="text1"/>
                <w:sz w:val="21"/>
                <w:szCs w:val="21"/>
                <w:lang w:val="en-US" w:eastAsia="zh-CN"/>
                <w14:textFill>
                  <w14:solidFill>
                    <w14:schemeClr w14:val="tx1"/>
                  </w14:solidFill>
                </w14:textFill>
              </w:rPr>
              <w:t>-actin</w:t>
            </w:r>
          </w:p>
        </w:tc>
        <w:tc>
          <w:tcPr>
            <w:tcW w:w="0" w:type="auto"/>
            <w:shd w:val="clear" w:color="auto" w:fill="auto"/>
            <w:vAlign w:val="top"/>
          </w:tcPr>
          <w:p w14:paraId="1ACFB3E1">
            <w:pPr>
              <w:jc w:val="both"/>
              <w:rPr>
                <w:rFonts w:ascii="Times New Roman" w:hAnsi="Times New Roman" w:eastAsia="华文细黑" w:cs="Times New Roman"/>
                <w:kern w:val="2"/>
                <w:sz w:val="21"/>
                <w:szCs w:val="21"/>
                <w:lang w:val="en-US" w:eastAsia="zh-CN" w:bidi="ar-SA"/>
              </w:rPr>
            </w:pPr>
            <w:r>
              <w:rPr>
                <w:rFonts w:ascii="Times New Roman" w:hAnsi="Times New Roman" w:eastAsia="华文细黑" w:cs="Times New Roman"/>
                <w:sz w:val="21"/>
                <w:szCs w:val="21"/>
              </w:rPr>
              <w:t>Rabbit</w:t>
            </w:r>
          </w:p>
        </w:tc>
        <w:tc>
          <w:tcPr>
            <w:tcW w:w="0" w:type="auto"/>
            <w:shd w:val="clear" w:color="auto" w:fill="auto"/>
            <w:vAlign w:val="top"/>
          </w:tcPr>
          <w:p w14:paraId="555CC710">
            <w:pPr>
              <w:jc w:val="both"/>
              <w:rPr>
                <w:rFonts w:ascii="Times New Roman" w:hAnsi="Times New Roman" w:eastAsia="华文细黑" w:cs="Times New Roman"/>
                <w:kern w:val="2"/>
                <w:sz w:val="21"/>
                <w:szCs w:val="21"/>
                <w:lang w:val="en-US" w:eastAsia="zh-CN" w:bidi="ar-SA"/>
              </w:rPr>
            </w:pPr>
            <w:r>
              <w:rPr>
                <w:rFonts w:ascii="Times New Roman" w:hAnsi="Times New Roman" w:eastAsia="华文细黑" w:cs="Times New Roman"/>
                <w:sz w:val="21"/>
                <w:szCs w:val="21"/>
              </w:rPr>
              <w:t>1:2000</w:t>
            </w:r>
          </w:p>
        </w:tc>
        <w:tc>
          <w:tcPr>
            <w:tcW w:w="0" w:type="auto"/>
            <w:shd w:val="clear" w:color="auto" w:fill="auto"/>
            <w:vAlign w:val="top"/>
          </w:tcPr>
          <w:p w14:paraId="573FA636">
            <w:pPr>
              <w:jc w:val="both"/>
              <w:rPr>
                <w:rFonts w:ascii="Times New Roman" w:hAnsi="Times New Roman" w:eastAsia="华文细黑" w:cs="Times New Roman"/>
                <w:kern w:val="2"/>
                <w:sz w:val="21"/>
                <w:szCs w:val="21"/>
                <w:lang w:val="en-US" w:eastAsia="zh-CN" w:bidi="ar-SA"/>
              </w:rPr>
            </w:pPr>
            <w:r>
              <w:rPr>
                <w:rFonts w:ascii="Times New Roman" w:hAnsi="Times New Roman" w:eastAsia="华文细黑" w:cs="Times New Roman"/>
                <w:sz w:val="21"/>
                <w:szCs w:val="21"/>
              </w:rPr>
              <w:t>Abcam</w:t>
            </w:r>
          </w:p>
        </w:tc>
      </w:tr>
    </w:tbl>
    <w:p w14:paraId="2D391992">
      <w:pPr>
        <w:rPr>
          <w:rFonts w:ascii="Times New Roman" w:hAnsi="Times New Roman" w:cs="Times New Roman"/>
          <w:b/>
          <w:bCs/>
          <w:sz w:val="21"/>
          <w:szCs w:val="21"/>
        </w:rPr>
      </w:pPr>
      <w:r>
        <w:rPr>
          <w:rFonts w:ascii="Times New Roman" w:hAnsi="Times New Roman" w:cs="Times New Roman"/>
          <w:b/>
          <w:bCs/>
          <w:sz w:val="21"/>
          <w:szCs w:val="21"/>
        </w:rPr>
        <w:br w:type="page"/>
      </w:r>
    </w:p>
    <w:p w14:paraId="723492F7">
      <w:pPr>
        <w:jc w:val="both"/>
        <w:rPr>
          <w:rFonts w:ascii="Times New Roman" w:hAnsi="Times New Roman" w:cs="Times New Roman"/>
          <w:i/>
          <w:iCs/>
          <w:sz w:val="21"/>
          <w:szCs w:val="21"/>
        </w:rPr>
      </w:pPr>
      <w:r>
        <w:rPr>
          <w:rFonts w:ascii="Times New Roman" w:hAnsi="Times New Roman" w:cs="Times New Roman"/>
          <w:b/>
          <w:bCs/>
          <w:sz w:val="21"/>
          <w:szCs w:val="21"/>
        </w:rPr>
        <w:t>Table 2</w:t>
      </w:r>
      <w:r>
        <w:rPr>
          <w:rFonts w:ascii="Times New Roman" w:hAnsi="Times New Roman" w:cs="Times New Roman"/>
          <w:sz w:val="21"/>
          <w:szCs w:val="21"/>
        </w:rPr>
        <w:t xml:space="preserve"> Frequency-domain parameters of difference between normal rats and T2DM rats</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0"/>
        <w:gridCol w:w="2840"/>
      </w:tblGrid>
      <w:tr w14:paraId="78696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left w:val="nil"/>
              <w:bottom w:val="single" w:color="auto" w:sz="4" w:space="0"/>
              <w:right w:val="nil"/>
            </w:tcBorders>
          </w:tcPr>
          <w:p w14:paraId="0DCC39F4">
            <w:pPr>
              <w:rPr>
                <w:rFonts w:ascii="Times New Roman" w:hAnsi="Times New Roman" w:eastAsia="宋体" w:cs="Times New Roman"/>
                <w:kern w:val="0"/>
                <w:sz w:val="21"/>
                <w:szCs w:val="21"/>
              </w:rPr>
            </w:pPr>
          </w:p>
        </w:tc>
        <w:tc>
          <w:tcPr>
            <w:tcW w:w="2840" w:type="dxa"/>
            <w:tcBorders>
              <w:left w:val="nil"/>
              <w:bottom w:val="single" w:color="auto" w:sz="4" w:space="0"/>
              <w:right w:val="nil"/>
            </w:tcBorders>
          </w:tcPr>
          <w:p w14:paraId="7DAF181D">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Normal</w:t>
            </w:r>
          </w:p>
        </w:tc>
        <w:tc>
          <w:tcPr>
            <w:tcW w:w="2840" w:type="dxa"/>
            <w:tcBorders>
              <w:left w:val="nil"/>
              <w:bottom w:val="single" w:color="auto" w:sz="4" w:space="0"/>
              <w:right w:val="nil"/>
            </w:tcBorders>
          </w:tcPr>
          <w:p w14:paraId="779F2630">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T2DM</w:t>
            </w:r>
          </w:p>
        </w:tc>
      </w:tr>
      <w:tr w14:paraId="70F2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single" w:color="auto" w:sz="4" w:space="0"/>
              <w:left w:val="nil"/>
              <w:bottom w:val="nil"/>
              <w:right w:val="nil"/>
            </w:tcBorders>
          </w:tcPr>
          <w:p w14:paraId="2859BE15">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n</w:t>
            </w:r>
          </w:p>
        </w:tc>
        <w:tc>
          <w:tcPr>
            <w:tcW w:w="2840" w:type="dxa"/>
            <w:tcBorders>
              <w:top w:val="single" w:color="auto" w:sz="4" w:space="0"/>
              <w:left w:val="nil"/>
              <w:bottom w:val="nil"/>
              <w:right w:val="nil"/>
            </w:tcBorders>
          </w:tcPr>
          <w:p w14:paraId="37920C83">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6</w:t>
            </w:r>
          </w:p>
        </w:tc>
        <w:tc>
          <w:tcPr>
            <w:tcW w:w="2840" w:type="dxa"/>
            <w:tcBorders>
              <w:top w:val="single" w:color="auto" w:sz="4" w:space="0"/>
              <w:left w:val="nil"/>
              <w:bottom w:val="nil"/>
              <w:right w:val="nil"/>
            </w:tcBorders>
          </w:tcPr>
          <w:p w14:paraId="6495DEB8">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7</w:t>
            </w:r>
          </w:p>
        </w:tc>
      </w:tr>
      <w:tr w14:paraId="71F66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5459A03D">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LFnorm, nU</w:t>
            </w:r>
          </w:p>
        </w:tc>
        <w:tc>
          <w:tcPr>
            <w:tcW w:w="2840" w:type="dxa"/>
            <w:tcBorders>
              <w:top w:val="nil"/>
              <w:left w:val="nil"/>
              <w:bottom w:val="nil"/>
              <w:right w:val="nil"/>
            </w:tcBorders>
          </w:tcPr>
          <w:p w14:paraId="7B46D5B4">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36.76±4.53</w:t>
            </w:r>
          </w:p>
        </w:tc>
        <w:tc>
          <w:tcPr>
            <w:tcW w:w="2840" w:type="dxa"/>
            <w:tcBorders>
              <w:top w:val="nil"/>
              <w:left w:val="nil"/>
              <w:bottom w:val="nil"/>
              <w:right w:val="nil"/>
            </w:tcBorders>
          </w:tcPr>
          <w:p w14:paraId="5D1B2F5E">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60.40±4.75</w:t>
            </w:r>
            <w:r>
              <w:rPr>
                <w:rFonts w:ascii="Times New Roman" w:hAnsi="Times New Roman" w:eastAsia="宋体" w:cs="Times New Roman"/>
                <w:kern w:val="0"/>
                <w:sz w:val="21"/>
                <w:szCs w:val="21"/>
                <w:vertAlign w:val="superscript"/>
              </w:rPr>
              <w:t>*</w:t>
            </w:r>
          </w:p>
        </w:tc>
      </w:tr>
      <w:tr w14:paraId="700CB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bottom w:val="nil"/>
              <w:right w:val="nil"/>
            </w:tcBorders>
          </w:tcPr>
          <w:p w14:paraId="59EF3A06">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HFnorm, nU</w:t>
            </w:r>
          </w:p>
        </w:tc>
        <w:tc>
          <w:tcPr>
            <w:tcW w:w="2840" w:type="dxa"/>
            <w:tcBorders>
              <w:top w:val="nil"/>
              <w:left w:val="nil"/>
              <w:bottom w:val="nil"/>
              <w:right w:val="nil"/>
            </w:tcBorders>
          </w:tcPr>
          <w:p w14:paraId="1E877824">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51.22±4.23</w:t>
            </w:r>
          </w:p>
        </w:tc>
        <w:tc>
          <w:tcPr>
            <w:tcW w:w="2840" w:type="dxa"/>
            <w:tcBorders>
              <w:top w:val="nil"/>
              <w:left w:val="nil"/>
              <w:bottom w:val="nil"/>
              <w:right w:val="nil"/>
            </w:tcBorders>
          </w:tcPr>
          <w:p w14:paraId="50FDF0E4">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70.60±2.85</w:t>
            </w:r>
            <w:r>
              <w:rPr>
                <w:rFonts w:ascii="Times New Roman" w:hAnsi="Times New Roman" w:eastAsia="宋体" w:cs="Times New Roman"/>
                <w:kern w:val="0"/>
                <w:sz w:val="21"/>
                <w:szCs w:val="21"/>
                <w:vertAlign w:val="superscript"/>
              </w:rPr>
              <w:t>*</w:t>
            </w:r>
          </w:p>
        </w:tc>
      </w:tr>
      <w:tr w14:paraId="2AB8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Borders>
              <w:top w:val="nil"/>
              <w:left w:val="nil"/>
              <w:right w:val="nil"/>
            </w:tcBorders>
          </w:tcPr>
          <w:p w14:paraId="0ACA0A38">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LF/HF</w:t>
            </w:r>
          </w:p>
        </w:tc>
        <w:tc>
          <w:tcPr>
            <w:tcW w:w="2840" w:type="dxa"/>
            <w:tcBorders>
              <w:top w:val="nil"/>
              <w:left w:val="nil"/>
              <w:right w:val="nil"/>
            </w:tcBorders>
          </w:tcPr>
          <w:p w14:paraId="00610E55">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0.71±0.18</w:t>
            </w:r>
          </w:p>
        </w:tc>
        <w:tc>
          <w:tcPr>
            <w:tcW w:w="2840" w:type="dxa"/>
            <w:tcBorders>
              <w:top w:val="nil"/>
              <w:left w:val="nil"/>
              <w:right w:val="nil"/>
            </w:tcBorders>
          </w:tcPr>
          <w:p w14:paraId="49E36DC6">
            <w:pPr>
              <w:rPr>
                <w:rFonts w:ascii="Times New Roman" w:hAnsi="Times New Roman" w:eastAsia="宋体" w:cs="Times New Roman"/>
                <w:kern w:val="0"/>
                <w:sz w:val="21"/>
                <w:szCs w:val="21"/>
              </w:rPr>
            </w:pPr>
            <w:r>
              <w:rPr>
                <w:rFonts w:ascii="Times New Roman" w:hAnsi="Times New Roman" w:eastAsia="宋体" w:cs="Times New Roman"/>
                <w:kern w:val="0"/>
                <w:sz w:val="21"/>
                <w:szCs w:val="21"/>
              </w:rPr>
              <w:t>0.29±0.04</w:t>
            </w:r>
            <w:r>
              <w:rPr>
                <w:rFonts w:ascii="Times New Roman" w:hAnsi="Times New Roman" w:eastAsia="宋体" w:cs="Times New Roman"/>
                <w:kern w:val="0"/>
                <w:sz w:val="21"/>
                <w:szCs w:val="21"/>
                <w:vertAlign w:val="superscript"/>
              </w:rPr>
              <w:t>*</w:t>
            </w:r>
          </w:p>
        </w:tc>
      </w:tr>
    </w:tbl>
    <w:p w14:paraId="00CB378E">
      <w:pPr>
        <w:rPr>
          <w:rFonts w:hint="default" w:ascii="Times New Roman" w:hAnsi="Times New Roman" w:cs="Times New Roman" w:eastAsiaTheme="minorEastAsia"/>
          <w:sz w:val="21"/>
          <w:szCs w:val="21"/>
          <w:lang w:val="en-US" w:eastAsia="zh-CN"/>
        </w:rPr>
      </w:pPr>
      <w:r>
        <w:rPr>
          <w:rFonts w:ascii="Times New Roman" w:hAnsi="Times New Roman" w:cs="Times New Roman"/>
          <w:sz w:val="21"/>
          <w:szCs w:val="21"/>
        </w:rPr>
        <w:t xml:space="preserve">* P &lt; 0.05, vs. normal </w:t>
      </w:r>
      <w:r>
        <w:rPr>
          <w:rFonts w:hint="eastAsia" w:ascii="Times New Roman" w:hAnsi="Times New Roman" w:cs="Times New Roman"/>
          <w:sz w:val="21"/>
          <w:szCs w:val="21"/>
          <w:lang w:val="en-US" w:eastAsia="zh-CN"/>
        </w:rPr>
        <w:t>group.</w:t>
      </w:r>
    </w:p>
    <w:p w14:paraId="10882265">
      <w:pPr>
        <w:rPr>
          <w:rFonts w:hint="eastAsia" w:ascii="Times New Roman" w:hAnsi="Times New Roman" w:cs="Times New Roman"/>
          <w:b/>
          <w:bCs/>
          <w:sz w:val="21"/>
          <w:szCs w:val="21"/>
          <w:lang w:val="en-US" w:eastAsia="zh-CN"/>
        </w:rPr>
      </w:pPr>
      <w:r>
        <w:br w:type="page"/>
      </w:r>
    </w:p>
    <w:p w14:paraId="6A18F609">
      <w:pPr>
        <w:jc w:val="both"/>
        <w:rPr>
          <w:rFonts w:hint="default" w:ascii="Times New Roman" w:hAnsi="Times New Roman" w:cs="Times New Roman"/>
          <w:b/>
          <w:bCs/>
          <w:sz w:val="21"/>
          <w:szCs w:val="21"/>
          <w:lang w:val="en-US" w:eastAsia="zh-CN"/>
        </w:rPr>
      </w:pPr>
      <w:r>
        <w:rPr>
          <w:rFonts w:hint="eastAsia" w:ascii="Times New Roman" w:hAnsi="Times New Roman" w:cs="Times New Roman"/>
          <w:b/>
          <w:bCs/>
          <w:sz w:val="21"/>
          <w:szCs w:val="21"/>
          <w:lang w:val="en-US" w:eastAsia="zh-CN"/>
        </w:rPr>
        <w:t xml:space="preserve">Figure S1 PINS mediates EA to improve T2DM glucose-lipid metabolism. </w:t>
      </w:r>
      <w:r>
        <w:rPr>
          <w:rFonts w:hint="eastAsia" w:ascii="Times New Roman" w:hAnsi="Times New Roman" w:cs="Times New Roman"/>
          <w:b w:val="0"/>
          <w:bCs w:val="0"/>
          <w:sz w:val="21"/>
          <w:szCs w:val="21"/>
          <w:lang w:val="en-US" w:eastAsia="zh-CN"/>
        </w:rPr>
        <w:t xml:space="preserve">(A) Differences in glucose tolerance and area under the (B) curve among groups of rats after intraperitoneal injection of 2 mg/kg glucose solution. (C) Changes in serum FPG, (D) insulin, (E) HOMA-IR, (F) HbA1c, (G) leptin, (H) HOMA-β, (I) HOMA-IS, (J) GLP-1, (K) IL-1β, (L) TNF-α, (M) IL-10, (N) TC, and (O) TG levels in rats in each group. (P) Effect of MA at ST25 or ST37 on HRV in normal or T2DM rats. (Q) Changes in glucose tolerance in rats after pancreatic sympathectomy and (R) PVN injection of GABA. ST25, Tianshu acupoint; ST37, Shangjuxu acupoint; MA, manual acupuncture; INS, insulin; LEP, leptin; </w:t>
      </w:r>
      <w:r>
        <w:rPr>
          <w:rFonts w:hint="eastAsia" w:ascii="Times New Roman" w:hAnsi="Times New Roman" w:cs="Times New Roman"/>
          <w:sz w:val="21"/>
          <w:szCs w:val="21"/>
          <w:lang w:val="en-US" w:eastAsia="zh-CN"/>
        </w:rPr>
        <w:t>PVN, hypothalamic paraventricular nucleus;</w:t>
      </w:r>
      <w:bookmarkStart w:id="0" w:name="_GoBack"/>
      <w:bookmarkEnd w:id="0"/>
      <w:r>
        <w:rPr>
          <w:rFonts w:hint="eastAsia" w:ascii="Times New Roman" w:hAnsi="Times New Roman" w:cs="Times New Roman"/>
          <w:sz w:val="21"/>
          <w:szCs w:val="21"/>
          <w:lang w:val="en-US" w:eastAsia="zh-CN"/>
        </w:rPr>
        <w:t xml:space="preserve"> GABA, gamma aminobutyric acid</w:t>
      </w:r>
    </w:p>
    <w:p w14:paraId="2C708E90">
      <w:pPr>
        <w:jc w:val="both"/>
        <w:rPr>
          <w:rFonts w:hint="eastAsia" w:ascii="Times New Roman" w:hAnsi="Times New Roman" w:cs="Times New Roman"/>
          <w:b/>
          <w:bCs/>
          <w:sz w:val="21"/>
          <w:szCs w:val="21"/>
          <w:lang w:val="en-US" w:eastAsia="zh-CN"/>
        </w:rPr>
      </w:pPr>
      <w:r>
        <w:drawing>
          <wp:inline distT="0" distB="0" distL="114300" distR="114300">
            <wp:extent cx="5272405" cy="5418455"/>
            <wp:effectExtent l="0" t="0" r="63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5272405" cy="5418455"/>
                    </a:xfrm>
                    <a:prstGeom prst="rect">
                      <a:avLst/>
                    </a:prstGeom>
                    <a:noFill/>
                    <a:ln>
                      <a:noFill/>
                    </a:ln>
                  </pic:spPr>
                </pic:pic>
              </a:graphicData>
            </a:graphic>
          </wp:inline>
        </w:drawing>
      </w:r>
    </w:p>
    <w:p w14:paraId="303697B9">
      <w:pPr>
        <w:jc w:val="both"/>
        <w:rPr>
          <w:rFonts w:hint="default" w:ascii="Times New Roman" w:hAnsi="Times New Roman" w:cs="Times New Roman"/>
          <w:b/>
          <w:bCs/>
          <w:sz w:val="21"/>
          <w:szCs w:val="21"/>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ZjNTEwYjE5N2RhODk0ZjRkZDMwNThkZDE5MjJjZmYifQ=="/>
  </w:docVars>
  <w:rsids>
    <w:rsidRoot w:val="48235ADF"/>
    <w:rsid w:val="48235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
    <w:name w:val="网格型1"/>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2024-09-26T10:10:00Z</dcterms:created>
  <dc:creator>Putin</dc:creator>
  <cp:lastModifiedBy>Putin</cp:lastModifiedBy>
  <dcterms:modified xsi:type="dcterms:W3CDTF">2024-09-26T10:43:40Z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8E31B832522C46A695774815CB5B80FF_11</vt:lpwstr>
  </property>
</Properties>
</file>