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25F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AdvOT46dcae81" w:cs="Times New Roman"/>
          <w:b/>
          <w:bCs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46dcae81" w:cs="Times New Roman"/>
          <w:b/>
          <w:bCs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Supplementary Material</w:t>
      </w:r>
    </w:p>
    <w:p w14:paraId="569CAD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</w:pPr>
      <w:r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  <w:drawing>
          <wp:inline distT="0" distB="0" distL="114300" distR="114300">
            <wp:extent cx="5268595" cy="6979285"/>
            <wp:effectExtent l="0" t="0" r="8255" b="2540"/>
            <wp:docPr id="15" name="图片 15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rcRect t="768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7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156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(S1) CVB-D on the serum levels of low-density lipoprotein (LDL), high-density lipoprotein (HDL), triglycerides (TG) and total cholesterol (TC) (n &gt; 6).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control group;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model group.</w:t>
      </w:r>
    </w:p>
    <w:p w14:paraId="235B82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(S2)</w:t>
      </w:r>
      <w:r>
        <w:rPr>
          <w:rFonts w:hint="default" w:ascii="Times New Roman" w:hAnsi="Times New Roman" w:eastAsia="CharisSIL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Representative images of dihydroethidium (DHE) dyeing of the heart tissue from mice in each group </w:t>
      </w:r>
      <w:r>
        <w:rPr>
          <w:rFonts w:hint="default" w:ascii="Times New Roman" w:hAnsi="Times New Roman" w:eastAsia="AdvOT46dcae81" w:cs="Times New Roman"/>
          <w:color w:val="auto"/>
          <w:kern w:val="0"/>
          <w:sz w:val="24"/>
          <w:szCs w:val="24"/>
          <w:lang w:val="en-US" w:eastAsia="zh-CN" w:bidi="ar"/>
        </w:rPr>
        <w:t>(scale bar = 25 µm)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, and quantitative analysis of ROS levels (n = 6).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 xml:space="preserve"> ##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control group;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model group.</w:t>
      </w:r>
    </w:p>
    <w:p w14:paraId="67D2EC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(S3 A) Representative images of immunofluorescence dyeing of CTnT in the NMVMs </w:t>
      </w:r>
      <w:r>
        <w:rPr>
          <w:rFonts w:hint="default" w:ascii="Times New Roman" w:hAnsi="Times New Roman" w:eastAsia="AdvOT46dcae81" w:cs="Times New Roman"/>
          <w:color w:val="auto"/>
          <w:kern w:val="0"/>
          <w:sz w:val="24"/>
          <w:szCs w:val="24"/>
          <w:lang w:val="en-US" w:eastAsia="zh-CN" w:bidi="ar"/>
        </w:rPr>
        <w:t>(scale bar = 25 µm)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. (S3 B) and (S3 C) Cell viability of each group was determined by MTT assay (n = 3). (S3 D) LDH activity (n = 3).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control group;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model group.</w:t>
      </w:r>
    </w:p>
    <w:p w14:paraId="444BBD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(S4 A) NMVMs were detected with a DCFH-DA fluorescent dyeing kit (scale bar = 50 µm). (S4 B) ROS of NMVMs was measured by flow cytometry, while the content of ROS was quantified (n = 3).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control group;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model group.</w:t>
      </w:r>
    </w:p>
    <w:p w14:paraId="07F8FF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C9A8A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493E1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24A87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0E6D5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900ED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C8375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E5BBB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7DC1B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6E5D8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6E7A3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6DEEB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5CB5B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ED09D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58C00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48383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C41FD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A76B1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2C9B1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57FEA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A6912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B7895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A3D4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05B69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DDF49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1AED0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8469F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63141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03410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23A11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340" w:firstLineChars="200"/>
        <w:jc w:val="left"/>
        <w:textAlignment w:val="auto"/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</w:pPr>
      <w:r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  <w:drawing>
          <wp:inline distT="0" distB="0" distL="114300" distR="114300">
            <wp:extent cx="5267960" cy="7543165"/>
            <wp:effectExtent l="0" t="0" r="8890" b="635"/>
            <wp:docPr id="16" name="图片 16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4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140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</w:pPr>
    </w:p>
    <w:p w14:paraId="3C4CFC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(S5) Immunofluorescence images of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the 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mitochondrial dynamics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-related proteins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(scale bar 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= 20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µm).</w:t>
      </w:r>
    </w:p>
    <w:p w14:paraId="7FF165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(S6) and (S9) Detection of serum low-density lipoprotein (LDL), high-density lipoprotein (HDL), triglyceride (TG) and total cholesterol (TC) levels in mice (n = 6).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##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control group;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model group.</w:t>
      </w:r>
    </w:p>
    <w:p w14:paraId="150A7C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left"/>
        <w:textAlignment w:val="auto"/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</w:pPr>
      <w:r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  <w:drawing>
          <wp:inline distT="0" distB="0" distL="114300" distR="114300">
            <wp:extent cx="4757420" cy="6790055"/>
            <wp:effectExtent l="0" t="0" r="0" b="0"/>
            <wp:docPr id="1" name="图片 1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rcRect l="6318" r="3352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67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AA4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(S7) Immunofluorescence images of the p53, p21 and p16 proteins (scale bar = 20 µm).</w:t>
      </w:r>
    </w:p>
    <w:p w14:paraId="23F130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(S8) Representative M-mode echocardiographic images and quantitative analysis of data for the ejection fraction (EF%) and fractional shortening (FS%) (n = 6). 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vertAlign w:val="superscript"/>
          <w:lang w:val="en-US" w:eastAsia="zh-CN" w:bidi="ar"/>
        </w:rPr>
        <w:t>##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AAV-CMV-NC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group; 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0.05, 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AdvOT46dcae81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&lt; 0.01 versus the </w:t>
      </w:r>
      <w:r>
        <w:rPr>
          <w:rFonts w:hint="eastAsia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AAV-CMV-SIRT3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 group.</w:t>
      </w:r>
      <w:bookmarkStart w:id="0" w:name="_GoBack"/>
      <w:bookmarkEnd w:id="0"/>
    </w:p>
    <w:p w14:paraId="642B13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left"/>
        <w:textAlignment w:val="auto"/>
        <w:rPr>
          <w:rFonts w:hint="eastAsia" w:ascii="Times New Roman" w:hAnsi="Times New Roman" w:eastAsia="AdvOT46dcae81" w:cs="Times New Roman"/>
          <w:b/>
          <w:bCs/>
          <w:color w:val="000000"/>
          <w:kern w:val="0"/>
          <w:sz w:val="17"/>
          <w:szCs w:val="17"/>
          <w:lang w:val="en-US" w:eastAsia="zh-CN" w:bidi="ar"/>
        </w:rPr>
      </w:pPr>
    </w:p>
    <w:p w14:paraId="321728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6877685"/>
            <wp:effectExtent l="0" t="0" r="6350" b="8890"/>
            <wp:docPr id="2" name="图片 2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92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 xml:space="preserve">(S10) Immunofluorescence images of the </w:t>
      </w:r>
      <w:r>
        <w:rPr>
          <w:rFonts w:hint="default" w:ascii="Times New Roman" w:hAnsi="Times New Roman" w:eastAsia="AdvOT46dcae81" w:cs="Times New Roman"/>
          <w:color w:val="auto"/>
          <w:kern w:val="0"/>
          <w:sz w:val="24"/>
          <w:szCs w:val="24"/>
          <w:lang w:val="en-US" w:eastAsia="zh-CN" w:bidi="ar"/>
        </w:rPr>
        <w:t>mitochondrial dynamics</w:t>
      </w:r>
      <w:r>
        <w:rPr>
          <w:rFonts w:hint="default" w:ascii="Times New Roman" w:hAnsi="Times New Roman" w:eastAsia="AdvOT46dcae81" w:cs="Times New Roman"/>
          <w:color w:val="000000"/>
          <w:kern w:val="0"/>
          <w:sz w:val="24"/>
          <w:szCs w:val="24"/>
          <w:lang w:val="en-US" w:eastAsia="zh-CN" w:bidi="ar"/>
        </w:rPr>
        <w:t>-contacted and aging-contacted proteins (scale bar = 20 µm).</w:t>
      </w:r>
    </w:p>
    <w:p w14:paraId="26BBCA23">
      <w:pPr>
        <w:jc w:val="left"/>
        <w:rPr>
          <w:rFonts w:ascii="Times New Roman" w:hAnsi="Times New Roman" w:cs="Times New Roman"/>
          <w:sz w:val="24"/>
        </w:rPr>
      </w:pPr>
    </w:p>
    <w:p w14:paraId="167354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OT46dcae8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2YyNzBiZjhhZWZkOWQwZTJiYTJkNGUxYmQwNTAifQ=="/>
  </w:docVars>
  <w:rsids>
    <w:rsidRoot w:val="076B563F"/>
    <w:rsid w:val="076B563F"/>
    <w:rsid w:val="13752BBD"/>
    <w:rsid w:val="1D083368"/>
    <w:rsid w:val="7072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341</Words>
  <Characters>1612</Characters>
  <Lines>0</Lines>
  <Paragraphs>0</Paragraphs>
  <TotalTime>3</TotalTime>
  <ScaleCrop>false</ScaleCrop>
  <LinksUpToDate>false</LinksUpToDate>
  <CharactersWithSpaces>1943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2024-10-29T13:26:00Z</dcterms:created>
  <dc:creator>安江飞</dc:creator>
  <cp:lastModifiedBy>安江飞</cp:lastModifiedBy>
  <dcterms:modified xsi:type="dcterms:W3CDTF">2025-04-13T05:48:48Z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3163D0283C454697907AD2868245F957_11</vt:lpwstr>
  </property>
  <property fmtid="{D5CDD505-2E9C-101B-9397-08002B2CF9AE}" pid="4" name="KSOTemplateDocerSaveRecord">
    <vt:lpwstr>eyJoZGlkIjoiMjRlN2YyNzBiZjhhZWZkOWQwZTJiYTJkNGUxYmQwNTAiLCJ1c2VySWQiOiI0MDY1OTE5NzUifQ==</vt:lpwstr>
  </property>
</Properties>
</file>