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F1ECE" w14:textId="0EB0469C" w:rsidR="005F6910" w:rsidRDefault="005F6910" w:rsidP="005F6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drawing>
          <wp:inline distT="0" distB="0" distL="0" distR="0" wp14:anchorId="1B917DA8" wp14:editId="4C1A6058">
            <wp:extent cx="5274310" cy="3005455"/>
            <wp:effectExtent l="0" t="0" r="2540" b="4445"/>
            <wp:docPr id="16355371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37165" name="图片 163553716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1DAB7" w14:textId="666E3300" w:rsidR="005F6910" w:rsidRDefault="005F6910" w:rsidP="00432515">
      <w:pPr>
        <w:spacing w:after="0" w:line="240" w:lineRule="auto"/>
        <w:jc w:val="both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891E02">
        <w:rPr>
          <w:rFonts w:ascii="Times New Roman" w:hAnsi="Times New Roman" w:cs="Times New Roman"/>
          <w:b/>
          <w:bCs/>
          <w:sz w:val="21"/>
          <w:szCs w:val="21"/>
        </w:rPr>
        <w:t>Figure S1.</w:t>
      </w:r>
      <w:r w:rsidRPr="00891E02">
        <w:rPr>
          <w:rFonts w:ascii="Times New Roman" w:hAnsi="Times New Roman" w:cs="Times New Roman"/>
          <w:sz w:val="21"/>
          <w:szCs w:val="21"/>
        </w:rPr>
        <w:t xml:space="preserve"> (A) Neutrophil purity was established to be routinely &gt;90% as determined by </w:t>
      </w:r>
      <w:r>
        <w:rPr>
          <w:rFonts w:ascii="Times New Roman" w:hAnsi="Times New Roman" w:cs="Times New Roman" w:hint="eastAsia"/>
          <w:sz w:val="21"/>
          <w:szCs w:val="21"/>
        </w:rPr>
        <w:t>w</w:t>
      </w:r>
      <w:r w:rsidRPr="00891E02">
        <w:rPr>
          <w:rFonts w:ascii="Times New Roman" w:hAnsi="Times New Roman" w:cs="Times New Roman"/>
          <w:sz w:val="21"/>
          <w:szCs w:val="21"/>
        </w:rPr>
        <w:t>right-</w:t>
      </w:r>
      <w:proofErr w:type="spellStart"/>
      <w:r>
        <w:rPr>
          <w:rFonts w:ascii="Times New Roman" w:hAnsi="Times New Roman" w:cs="Times New Roman" w:hint="eastAsia"/>
          <w:sz w:val="21"/>
          <w:szCs w:val="21"/>
        </w:rPr>
        <w:t>g</w:t>
      </w:r>
      <w:r w:rsidRPr="00891E02">
        <w:rPr>
          <w:rFonts w:ascii="Times New Roman" w:hAnsi="Times New Roman" w:cs="Times New Roman"/>
          <w:sz w:val="21"/>
          <w:szCs w:val="21"/>
        </w:rPr>
        <w:t>iemsa</w:t>
      </w:r>
      <w:proofErr w:type="spellEnd"/>
      <w:r w:rsidRPr="00891E02">
        <w:rPr>
          <w:rFonts w:ascii="Times New Roman" w:hAnsi="Times New Roman" w:cs="Times New Roman"/>
          <w:sz w:val="21"/>
          <w:szCs w:val="21"/>
        </w:rPr>
        <w:t xml:space="preserve"> staining (scale bar: 25 </w:t>
      </w:r>
      <w:proofErr w:type="spellStart"/>
      <w:r w:rsidRPr="00891E02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Pr="00891E02">
        <w:rPr>
          <w:rFonts w:ascii="Times New Roman" w:hAnsi="Times New Roman" w:cs="Times New Roman"/>
          <w:sz w:val="21"/>
          <w:szCs w:val="21"/>
        </w:rPr>
        <w:t xml:space="preserve">). </w:t>
      </w:r>
      <w:bookmarkStart w:id="0" w:name="_Hlk201613866"/>
      <w:r w:rsidRPr="00891E02">
        <w:rPr>
          <w:rFonts w:ascii="Times New Roman" w:hAnsi="Times New Roman" w:cs="Times New Roman"/>
          <w:sz w:val="21"/>
          <w:szCs w:val="21"/>
        </w:rPr>
        <w:t>(B) Representative flow cytometry scatter plot of platelet HMGB1 expression on washed platelets isolated from rats. (C) The effect of Rb1 on thrombin-induced HMGB1 expression on the surface of platelets.</w:t>
      </w:r>
      <w:bookmarkEnd w:id="0"/>
      <w:r w:rsidRPr="00891E02">
        <w:rPr>
          <w:rFonts w:ascii="Times New Roman" w:hAnsi="Times New Roman" w:cs="Times New Roman"/>
          <w:sz w:val="21"/>
          <w:szCs w:val="21"/>
        </w:rPr>
        <w:t xml:space="preserve"> </w:t>
      </w:r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432515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D</w:t>
      </w:r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>) HMGB1 levels in conditioned media derived from resting and activated platelets were also measured by ELISA (n = 5).</w:t>
      </w:r>
      <w:r w:rsidR="00432515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432515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E</w:t>
      </w:r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Enzymatic activity of PAD4 was measured in a cell-free assay upon co-incubation of </w:t>
      </w:r>
      <w:r w:rsidR="002855A9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FA</w:t>
      </w:r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(25, 50, 100, and 200 </w:t>
      </w:r>
      <w:proofErr w:type="spellStart"/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="004325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with the PAD4-substrate (n=5). </w:t>
      </w:r>
      <w:r w:rsidR="00432515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Data are presented as </w:t>
      </w:r>
      <w:proofErr w:type="spellStart"/>
      <w:r w:rsidR="00432515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means±SE</w:t>
      </w:r>
      <w:proofErr w:type="spellEnd"/>
      <w:r w:rsidR="00432515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.</w:t>
      </w:r>
    </w:p>
    <w:p w14:paraId="595A9173" w14:textId="77777777" w:rsidR="00D74A0A" w:rsidRDefault="00D74A0A" w:rsidP="00432515">
      <w:pPr>
        <w:spacing w:after="0" w:line="240" w:lineRule="auto"/>
        <w:jc w:val="both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</w:p>
    <w:p w14:paraId="05E0740E" w14:textId="019B0B20" w:rsidR="00D74A0A" w:rsidRDefault="00D74A0A" w:rsidP="0043251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34067CC1" wp14:editId="20344C01">
            <wp:extent cx="5274310" cy="1969135"/>
            <wp:effectExtent l="0" t="0" r="2540" b="0"/>
            <wp:docPr id="4002304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30409" name="图片 4002304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EF64E" w14:textId="6541122D" w:rsidR="00D74A0A" w:rsidRPr="00D74A0A" w:rsidRDefault="00D74A0A" w:rsidP="0043251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91E02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2</w:t>
      </w:r>
      <w:r w:rsidRPr="00891E02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D74A0A">
        <w:rPr>
          <w:rFonts w:ascii="Times New Roman" w:hAnsi="Times New Roman"/>
          <w:sz w:val="21"/>
          <w:szCs w:val="21"/>
        </w:rPr>
        <w:t xml:space="preserve"> (</w:t>
      </w:r>
      <w:r>
        <w:rPr>
          <w:rFonts w:ascii="Times New Roman" w:hAnsi="Times New Roman" w:hint="eastAsia"/>
          <w:sz w:val="21"/>
          <w:szCs w:val="21"/>
        </w:rPr>
        <w:t>A-C</w:t>
      </w:r>
      <w:r w:rsidRPr="00D74A0A">
        <w:rPr>
          <w:rFonts w:ascii="Times New Roman" w:hAnsi="Times New Roman"/>
          <w:sz w:val="21"/>
          <w:szCs w:val="21"/>
        </w:rPr>
        <w:t xml:space="preserve">) Statistical diagram showing the improvement effects on </w:t>
      </w:r>
      <w:r>
        <w:rPr>
          <w:rFonts w:ascii="Times New Roman" w:hAnsi="Times New Roman" w:hint="eastAsia"/>
          <w:sz w:val="21"/>
          <w:szCs w:val="21"/>
        </w:rPr>
        <w:t xml:space="preserve">the </w:t>
      </w:r>
      <w:r w:rsidR="00A957F0" w:rsidRPr="00A957F0">
        <w:rPr>
          <w:rFonts w:ascii="Times New Roman" w:hAnsi="Times New Roman" w:hint="eastAsia"/>
          <w:sz w:val="21"/>
          <w:szCs w:val="21"/>
        </w:rPr>
        <w:t>peak perfusion time</w:t>
      </w:r>
      <w:r>
        <w:rPr>
          <w:rFonts w:ascii="Times New Roman" w:hAnsi="Times New Roman" w:hint="eastAsia"/>
          <w:sz w:val="21"/>
          <w:szCs w:val="21"/>
        </w:rPr>
        <w:t xml:space="preserve">, </w:t>
      </w:r>
      <w:r w:rsidR="00A957F0" w:rsidRPr="00A957F0">
        <w:rPr>
          <w:rFonts w:ascii="Times New Roman" w:hAnsi="Times New Roman" w:hint="eastAsia"/>
          <w:sz w:val="21"/>
          <w:szCs w:val="21"/>
        </w:rPr>
        <w:t xml:space="preserve">microthrombus </w:t>
      </w:r>
      <w:r>
        <w:rPr>
          <w:rFonts w:ascii="Times New Roman" w:hAnsi="Times New Roman" w:hint="eastAsia"/>
          <w:sz w:val="21"/>
          <w:szCs w:val="21"/>
        </w:rPr>
        <w:t xml:space="preserve">and </w:t>
      </w:r>
      <w:r w:rsidR="00A957F0">
        <w:rPr>
          <w:rFonts w:ascii="Times New Roman" w:hAnsi="Times New Roman" w:hint="eastAsia"/>
          <w:sz w:val="21"/>
          <w:szCs w:val="21"/>
        </w:rPr>
        <w:t>NET formation</w:t>
      </w:r>
      <w:r w:rsidRPr="00D74A0A">
        <w:rPr>
          <w:rFonts w:ascii="Times New Roman" w:hAnsi="Times New Roman"/>
          <w:sz w:val="21"/>
          <w:szCs w:val="21"/>
        </w:rPr>
        <w:t xml:space="preserve">. </w:t>
      </w:r>
      <w:r w:rsidRPr="00D74A0A">
        <w:rPr>
          <w:rFonts w:ascii="Times New Roman" w:hAnsi="Times New Roman" w:hint="eastAsia"/>
          <w:sz w:val="21"/>
          <w:szCs w:val="21"/>
        </w:rPr>
        <w:t>The combination index was calculated according to Bliss Independence model.</w:t>
      </w:r>
      <w:r w:rsidRPr="00D74A0A">
        <w:rPr>
          <w:rFonts w:ascii="Times New Roman" w:hAnsi="Times New Roman"/>
          <w:sz w:val="21"/>
          <w:szCs w:val="21"/>
        </w:rPr>
        <w:t xml:space="preserve"> The dashed line represents the value of E</w:t>
      </w:r>
      <w:r w:rsidRPr="00D74A0A">
        <w:rPr>
          <w:rFonts w:ascii="Times New Roman" w:hAnsi="Times New Roman"/>
          <w:sz w:val="21"/>
          <w:szCs w:val="21"/>
          <w:vertAlign w:val="subscript"/>
        </w:rPr>
        <w:t>FA</w:t>
      </w:r>
      <w:r w:rsidRPr="00D74A0A">
        <w:rPr>
          <w:rFonts w:ascii="Times New Roman" w:hAnsi="Times New Roman"/>
          <w:sz w:val="21"/>
          <w:szCs w:val="21"/>
        </w:rPr>
        <w:t>+E</w:t>
      </w:r>
      <w:r w:rsidRPr="00D74A0A">
        <w:rPr>
          <w:rFonts w:ascii="Times New Roman" w:hAnsi="Times New Roman"/>
          <w:sz w:val="21"/>
          <w:szCs w:val="21"/>
          <w:vertAlign w:val="subscript"/>
        </w:rPr>
        <w:t>Rb1</w:t>
      </w:r>
      <w:r w:rsidRPr="00D74A0A">
        <w:rPr>
          <w:rFonts w:ascii="Times New Roman" w:hAnsi="Times New Roman"/>
          <w:sz w:val="21"/>
          <w:szCs w:val="21"/>
        </w:rPr>
        <w:t xml:space="preserve"> - E</w:t>
      </w:r>
      <w:r w:rsidRPr="00D74A0A">
        <w:rPr>
          <w:rFonts w:ascii="Times New Roman" w:hAnsi="Times New Roman"/>
          <w:sz w:val="21"/>
          <w:szCs w:val="21"/>
          <w:vertAlign w:val="subscript"/>
        </w:rPr>
        <w:t>FA</w:t>
      </w:r>
      <w:r w:rsidRPr="00D74A0A">
        <w:rPr>
          <w:rFonts w:ascii="Times New Roman" w:hAnsi="Times New Roman"/>
          <w:sz w:val="21"/>
          <w:szCs w:val="21"/>
        </w:rPr>
        <w:t>× E</w:t>
      </w:r>
      <w:r w:rsidRPr="00D74A0A">
        <w:rPr>
          <w:rFonts w:ascii="Times New Roman" w:hAnsi="Times New Roman"/>
          <w:sz w:val="21"/>
          <w:szCs w:val="21"/>
          <w:vertAlign w:val="subscript"/>
        </w:rPr>
        <w:t>Rb1</w:t>
      </w:r>
      <w:r w:rsidRPr="00D74A0A">
        <w:rPr>
          <w:rFonts w:ascii="Times New Roman" w:hAnsi="Times New Roman"/>
          <w:sz w:val="21"/>
          <w:szCs w:val="21"/>
        </w:rPr>
        <w:t>. CI= (E</w:t>
      </w:r>
      <w:r w:rsidRPr="00D74A0A">
        <w:rPr>
          <w:rFonts w:ascii="Times New Roman" w:hAnsi="Times New Roman"/>
          <w:sz w:val="21"/>
          <w:szCs w:val="21"/>
          <w:vertAlign w:val="subscript"/>
        </w:rPr>
        <w:t>FA</w:t>
      </w:r>
      <w:r w:rsidRPr="00D74A0A">
        <w:rPr>
          <w:rFonts w:ascii="Times New Roman" w:hAnsi="Times New Roman"/>
          <w:sz w:val="21"/>
          <w:szCs w:val="21"/>
        </w:rPr>
        <w:t>+E</w:t>
      </w:r>
      <w:r w:rsidRPr="00D74A0A">
        <w:rPr>
          <w:rFonts w:ascii="Times New Roman" w:hAnsi="Times New Roman"/>
          <w:sz w:val="21"/>
          <w:szCs w:val="21"/>
          <w:vertAlign w:val="subscript"/>
        </w:rPr>
        <w:t>Rb1</w:t>
      </w:r>
      <w:r w:rsidRPr="00D74A0A">
        <w:rPr>
          <w:rFonts w:ascii="Times New Roman" w:hAnsi="Times New Roman"/>
          <w:sz w:val="21"/>
          <w:szCs w:val="21"/>
        </w:rPr>
        <w:t xml:space="preserve"> - E</w:t>
      </w:r>
      <w:r w:rsidRPr="00D74A0A">
        <w:rPr>
          <w:rFonts w:ascii="Times New Roman" w:hAnsi="Times New Roman"/>
          <w:sz w:val="21"/>
          <w:szCs w:val="21"/>
          <w:vertAlign w:val="subscript"/>
        </w:rPr>
        <w:t>FA</w:t>
      </w:r>
      <w:r w:rsidRPr="00D74A0A">
        <w:rPr>
          <w:rFonts w:ascii="Times New Roman" w:hAnsi="Times New Roman"/>
          <w:sz w:val="21"/>
          <w:szCs w:val="21"/>
        </w:rPr>
        <w:t>× E</w:t>
      </w:r>
      <w:r w:rsidRPr="00D74A0A">
        <w:rPr>
          <w:rFonts w:ascii="Times New Roman" w:hAnsi="Times New Roman"/>
          <w:sz w:val="21"/>
          <w:szCs w:val="21"/>
          <w:vertAlign w:val="subscript"/>
        </w:rPr>
        <w:t>Rb1</w:t>
      </w:r>
      <w:r w:rsidRPr="00D74A0A">
        <w:rPr>
          <w:rFonts w:ascii="Times New Roman" w:hAnsi="Times New Roman"/>
          <w:sz w:val="21"/>
          <w:szCs w:val="21"/>
        </w:rPr>
        <w:t>)/ E</w:t>
      </w:r>
      <w:r w:rsidRPr="00D74A0A">
        <w:rPr>
          <w:rFonts w:ascii="Times New Roman" w:hAnsi="Times New Roman"/>
          <w:sz w:val="21"/>
          <w:szCs w:val="21"/>
          <w:vertAlign w:val="subscript"/>
        </w:rPr>
        <w:t>FA+Rb1</w:t>
      </w:r>
      <w:r w:rsidRPr="00D74A0A">
        <w:rPr>
          <w:rFonts w:ascii="Times New Roman" w:hAnsi="Times New Roman"/>
          <w:sz w:val="21"/>
          <w:szCs w:val="21"/>
        </w:rPr>
        <w:t>. A CI value less than 1 indicates the synergistic effects of FA and Rb1.</w:t>
      </w:r>
    </w:p>
    <w:sectPr w:rsidR="00D74A0A" w:rsidRPr="00D74A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10"/>
    <w:rsid w:val="000C2B1E"/>
    <w:rsid w:val="002020DD"/>
    <w:rsid w:val="002855A9"/>
    <w:rsid w:val="003B0EC2"/>
    <w:rsid w:val="00432515"/>
    <w:rsid w:val="005F6910"/>
    <w:rsid w:val="00A957F0"/>
    <w:rsid w:val="00B20EFE"/>
    <w:rsid w:val="00C21CB7"/>
    <w:rsid w:val="00D74A0A"/>
    <w:rsid w:val="00DB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15852"/>
  <w15:chartTrackingRefBased/>
  <w15:docId w15:val="{367908C2-3763-47AC-A737-1D354DDF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9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69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9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91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91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91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91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91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91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69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69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6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691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691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F691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69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69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69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69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F6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9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F69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6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F69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69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69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69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F69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69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li</dc:creator>
  <cp:keywords/>
  <dc:description/>
  <cp:lastModifiedBy>jia li</cp:lastModifiedBy>
  <cp:revision>4</cp:revision>
  <dcterms:created xsi:type="dcterms:W3CDTF">2025-12-09T01:49:00Z</dcterms:created>
  <dcterms:modified xsi:type="dcterms:W3CDTF">2025-12-09T06:46:00Z</dcterms:modified>
</cp:coreProperties>
</file>