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2EFBB" w14:textId="77777777" w:rsidR="00881F4C" w:rsidRPr="000B3FF0" w:rsidRDefault="00881F4C" w:rsidP="00881F4C">
      <w:pPr>
        <w:spacing w:line="360" w:lineRule="auto"/>
        <w:rPr>
          <w:rFonts w:ascii="Times New Roman" w:hAnsi="Times New Roman" w:cs="Times New Roman"/>
          <w:b/>
          <w:sz w:val="24"/>
          <w:szCs w:val="24"/>
        </w:rPr>
      </w:pPr>
      <w:r w:rsidRPr="000B3FF0">
        <w:rPr>
          <w:rFonts w:ascii="Times New Roman" w:hAnsi="Times New Roman" w:cs="Times New Roman"/>
          <w:b/>
          <w:sz w:val="24"/>
          <w:szCs w:val="24"/>
        </w:rPr>
        <w:t>Supplementary material</w:t>
      </w:r>
    </w:p>
    <w:p w14:paraId="3A53AC84" w14:textId="77777777" w:rsidR="00881F4C" w:rsidRPr="000B3FF0" w:rsidRDefault="00881F4C" w:rsidP="00881F4C">
      <w:pPr>
        <w:spacing w:line="360" w:lineRule="auto"/>
        <w:rPr>
          <w:rFonts w:ascii="Times New Roman" w:hAnsi="Times New Roman" w:cs="Times New Roman"/>
          <w:b/>
          <w:bCs/>
          <w:sz w:val="24"/>
          <w:szCs w:val="24"/>
        </w:rPr>
      </w:pPr>
      <w:r w:rsidRPr="000B3FF0">
        <w:rPr>
          <w:rFonts w:ascii="Times New Roman" w:hAnsi="Times New Roman" w:cs="Times New Roman"/>
          <w:b/>
          <w:bCs/>
          <w:sz w:val="24"/>
          <w:szCs w:val="24"/>
        </w:rPr>
        <w:t>S1</w:t>
      </w:r>
    </w:p>
    <w:p w14:paraId="370E225D" w14:textId="77777777" w:rsidR="00881F4C" w:rsidRPr="000B3FF0" w:rsidRDefault="00881F4C" w:rsidP="00881F4C">
      <w:pPr>
        <w:spacing w:line="360" w:lineRule="auto"/>
        <w:rPr>
          <w:rFonts w:ascii="Times New Roman" w:hAnsi="Times New Roman" w:cs="Times New Roman"/>
          <w:bCs/>
          <w:sz w:val="24"/>
          <w:szCs w:val="24"/>
        </w:rPr>
      </w:pPr>
      <w:r w:rsidRPr="000B3FF0">
        <w:rPr>
          <w:rFonts w:ascii="Times New Roman" w:hAnsi="Times New Roman" w:cs="Times New Roman"/>
          <w:bCs/>
          <w:sz w:val="24"/>
          <w:szCs w:val="24"/>
        </w:rPr>
        <w:t>The structural identification of compound AAD.</w:t>
      </w:r>
      <w:r w:rsidRPr="000B3FF0">
        <w:rPr>
          <w:rFonts w:ascii="Times New Roman" w:hAnsi="Times New Roman" w:cs="Times New Roman" w:hint="eastAsia"/>
          <w:bCs/>
          <w:sz w:val="24"/>
          <w:szCs w:val="24"/>
        </w:rPr>
        <w:t xml:space="preserve"> We recognize the current limitations in the quality control of AAD. In subsequent research, we plan to take all these factors into full consideration and will conduct comprehensive quality evaluation, endotoxin detection, and residual solvent analysis to further refine and standardize the experimental materials.</w:t>
      </w:r>
    </w:p>
    <w:p w14:paraId="34491E88" w14:textId="77777777" w:rsidR="00881F4C" w:rsidRPr="000B3FF0" w:rsidRDefault="00881F4C" w:rsidP="00881F4C">
      <w:pPr>
        <w:spacing w:line="360" w:lineRule="auto"/>
        <w:rPr>
          <w:rFonts w:ascii="Times New Roman" w:hAnsi="Times New Roman" w:cs="Times New Roman"/>
          <w:b/>
          <w:bCs/>
          <w:sz w:val="24"/>
          <w:szCs w:val="24"/>
        </w:rPr>
      </w:pPr>
      <w:r w:rsidRPr="000B3FF0">
        <w:rPr>
          <w:rFonts w:ascii="Times New Roman" w:hAnsi="Times New Roman" w:cs="Times New Roman"/>
          <w:b/>
          <w:bCs/>
          <w:noProof/>
          <w:sz w:val="24"/>
          <w:szCs w:val="24"/>
        </w:rPr>
        <w:drawing>
          <wp:inline distT="0" distB="0" distL="114300" distR="114300" wp14:anchorId="46346D8B" wp14:editId="645B4ED3">
            <wp:extent cx="5281295" cy="4641850"/>
            <wp:effectExtent l="0" t="0" r="14605" b="6350"/>
            <wp:docPr id="23" name="图片 23" descr="AAD图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AAD图谱"/>
                    <pic:cNvPicPr>
                      <a:picLocks noChangeAspect="1"/>
                    </pic:cNvPicPr>
                  </pic:nvPicPr>
                  <pic:blipFill>
                    <a:blip r:embed="rId4"/>
                    <a:srcRect l="795" t="1988" b="819"/>
                    <a:stretch>
                      <a:fillRect/>
                    </a:stretch>
                  </pic:blipFill>
                  <pic:spPr>
                    <a:xfrm>
                      <a:off x="0" y="0"/>
                      <a:ext cx="5281295" cy="4641850"/>
                    </a:xfrm>
                    <a:prstGeom prst="rect">
                      <a:avLst/>
                    </a:prstGeom>
                  </pic:spPr>
                </pic:pic>
              </a:graphicData>
            </a:graphic>
          </wp:inline>
        </w:drawing>
      </w:r>
    </w:p>
    <w:p w14:paraId="74250B97" w14:textId="77777777" w:rsidR="00881F4C" w:rsidRPr="000B3FF0" w:rsidRDefault="00881F4C" w:rsidP="00881F4C">
      <w:pPr>
        <w:spacing w:line="360" w:lineRule="auto"/>
        <w:jc w:val="center"/>
        <w:rPr>
          <w:rFonts w:ascii="Times New Roman" w:hAnsi="Times New Roman" w:cs="Times New Roman"/>
          <w:bCs/>
          <w:sz w:val="24"/>
          <w:szCs w:val="24"/>
        </w:rPr>
      </w:pPr>
      <w:r w:rsidRPr="000B3FF0">
        <w:rPr>
          <w:rFonts w:ascii="Times New Roman" w:hAnsi="Times New Roman" w:cs="Times New Roman"/>
          <w:bCs/>
          <w:sz w:val="24"/>
          <w:szCs w:val="24"/>
        </w:rPr>
        <w:t>Figure S1 The structural identification of compound AAD</w:t>
      </w:r>
    </w:p>
    <w:p w14:paraId="4C3A84EF" w14:textId="77777777" w:rsidR="00881F4C" w:rsidRPr="000B3FF0" w:rsidRDefault="00881F4C" w:rsidP="00881F4C">
      <w:pPr>
        <w:spacing w:line="360" w:lineRule="auto"/>
        <w:rPr>
          <w:rFonts w:ascii="Times New Roman" w:hAnsi="Times New Roman" w:cs="Times New Roman"/>
          <w:bCs/>
          <w:sz w:val="24"/>
          <w:szCs w:val="24"/>
        </w:rPr>
      </w:pPr>
      <w:r w:rsidRPr="000B3FF0">
        <w:rPr>
          <w:rFonts w:ascii="Times New Roman" w:hAnsi="Times New Roman" w:cs="Times New Roman"/>
          <w:bCs/>
          <w:sz w:val="24"/>
          <w:szCs w:val="24"/>
        </w:rPr>
        <w:t xml:space="preserve">A. The </w:t>
      </w:r>
      <w:r w:rsidRPr="000B3FF0">
        <w:rPr>
          <w:rFonts w:ascii="Times New Roman" w:hAnsi="Times New Roman" w:cs="Times New Roman"/>
          <w:bCs/>
          <w:sz w:val="24"/>
          <w:szCs w:val="24"/>
          <w:vertAlign w:val="superscript"/>
        </w:rPr>
        <w:t>1</w:t>
      </w:r>
      <w:r w:rsidRPr="000B3FF0">
        <w:rPr>
          <w:rFonts w:ascii="Times New Roman" w:hAnsi="Times New Roman" w:cs="Times New Roman"/>
          <w:bCs/>
          <w:sz w:val="24"/>
          <w:szCs w:val="24"/>
        </w:rPr>
        <w:t>H-NMR spectrum of compound AAD (500 MHz, CD</w:t>
      </w:r>
      <w:r w:rsidRPr="000B3FF0">
        <w:rPr>
          <w:rFonts w:ascii="Times New Roman" w:hAnsi="Times New Roman" w:cs="Times New Roman"/>
          <w:bCs/>
          <w:sz w:val="24"/>
          <w:szCs w:val="24"/>
          <w:vertAlign w:val="subscript"/>
        </w:rPr>
        <w:t>3</w:t>
      </w:r>
      <w:r w:rsidRPr="000B3FF0">
        <w:rPr>
          <w:rFonts w:ascii="Times New Roman" w:hAnsi="Times New Roman" w:cs="Times New Roman"/>
          <w:bCs/>
          <w:sz w:val="24"/>
          <w:szCs w:val="24"/>
        </w:rPr>
        <w:t xml:space="preserve">OD). B. The </w:t>
      </w:r>
      <w:r w:rsidRPr="000B3FF0">
        <w:rPr>
          <w:rFonts w:ascii="Times New Roman" w:hAnsi="Times New Roman" w:cs="Times New Roman"/>
          <w:bCs/>
          <w:sz w:val="24"/>
          <w:szCs w:val="24"/>
          <w:vertAlign w:val="superscript"/>
        </w:rPr>
        <w:t>13</w:t>
      </w:r>
      <w:r w:rsidRPr="000B3FF0">
        <w:rPr>
          <w:rFonts w:ascii="Times New Roman" w:hAnsi="Times New Roman" w:cs="Times New Roman"/>
          <w:bCs/>
          <w:sz w:val="24"/>
          <w:szCs w:val="24"/>
        </w:rPr>
        <w:t>C-NMR spectrum of compound AAD (125 MHz, CD</w:t>
      </w:r>
      <w:r w:rsidRPr="000B3FF0">
        <w:rPr>
          <w:rFonts w:ascii="Times New Roman" w:hAnsi="Times New Roman" w:cs="Times New Roman"/>
          <w:bCs/>
          <w:sz w:val="24"/>
          <w:szCs w:val="24"/>
          <w:vertAlign w:val="subscript"/>
        </w:rPr>
        <w:t>3</w:t>
      </w:r>
      <w:r w:rsidRPr="000B3FF0">
        <w:rPr>
          <w:rFonts w:ascii="Times New Roman" w:hAnsi="Times New Roman" w:cs="Times New Roman"/>
          <w:bCs/>
          <w:sz w:val="24"/>
          <w:szCs w:val="24"/>
        </w:rPr>
        <w:t xml:space="preserve">OD). C. The DEPT 135 spectrum of compound AAD. D. The </w:t>
      </w:r>
      <w:r w:rsidRPr="000B3FF0">
        <w:rPr>
          <w:rFonts w:ascii="Times New Roman" w:hAnsi="Times New Roman" w:cs="Times New Roman"/>
          <w:bCs/>
          <w:sz w:val="24"/>
          <w:szCs w:val="24"/>
          <w:vertAlign w:val="superscript"/>
        </w:rPr>
        <w:t>1</w:t>
      </w:r>
      <w:r w:rsidRPr="000B3FF0">
        <w:rPr>
          <w:rFonts w:ascii="Times New Roman" w:hAnsi="Times New Roman" w:cs="Times New Roman"/>
          <w:bCs/>
          <w:sz w:val="24"/>
          <w:szCs w:val="24"/>
        </w:rPr>
        <w:t>H-</w:t>
      </w:r>
      <w:r w:rsidRPr="000B3FF0">
        <w:rPr>
          <w:rFonts w:ascii="Times New Roman" w:hAnsi="Times New Roman" w:cs="Times New Roman"/>
          <w:bCs/>
          <w:sz w:val="24"/>
          <w:szCs w:val="24"/>
          <w:vertAlign w:val="superscript"/>
        </w:rPr>
        <w:t>1</w:t>
      </w:r>
      <w:r w:rsidRPr="000B3FF0">
        <w:rPr>
          <w:rFonts w:ascii="Times New Roman" w:hAnsi="Times New Roman" w:cs="Times New Roman"/>
          <w:bCs/>
          <w:sz w:val="24"/>
          <w:szCs w:val="24"/>
        </w:rPr>
        <w:t>H COSY spectrum of compound AAD. E. The HSQC spectrum of compound AAD. F. The HMBC spectrum of compound AAD. G. The NOESY spectrum of compound AAD.</w:t>
      </w:r>
    </w:p>
    <w:p w14:paraId="7C0AA002" w14:textId="77777777" w:rsidR="00881F4C" w:rsidRPr="000B3FF0" w:rsidRDefault="00881F4C" w:rsidP="00881F4C">
      <w:pPr>
        <w:topLinePunct/>
        <w:adjustRightInd w:val="0"/>
        <w:spacing w:line="360" w:lineRule="auto"/>
        <w:rPr>
          <w:rFonts w:ascii="Times New Roman" w:hAnsi="Times New Roman" w:cs="Times New Roman"/>
          <w:b/>
          <w:bCs/>
          <w:sz w:val="24"/>
          <w:szCs w:val="24"/>
        </w:rPr>
      </w:pPr>
      <w:r w:rsidRPr="000B3FF0">
        <w:rPr>
          <w:rFonts w:ascii="Times New Roman" w:hAnsi="Times New Roman" w:cs="Times New Roman"/>
          <w:b/>
          <w:bCs/>
          <w:sz w:val="24"/>
          <w:szCs w:val="24"/>
        </w:rPr>
        <w:t>S2</w:t>
      </w:r>
    </w:p>
    <w:p w14:paraId="3EA96F1A" w14:textId="77777777" w:rsidR="00881F4C" w:rsidRPr="000B3FF0" w:rsidRDefault="00881F4C" w:rsidP="00881F4C">
      <w:pPr>
        <w:topLinePunct/>
        <w:adjustRightInd w:val="0"/>
        <w:spacing w:line="360" w:lineRule="auto"/>
        <w:rPr>
          <w:rFonts w:ascii="Times New Roman" w:hAnsi="Times New Roman" w:cs="Times New Roman"/>
          <w:b/>
          <w:bCs/>
          <w:sz w:val="24"/>
          <w:szCs w:val="24"/>
        </w:rPr>
      </w:pPr>
      <w:r w:rsidRPr="000B3FF0">
        <w:rPr>
          <w:rFonts w:ascii="Times New Roman" w:hAnsi="Times New Roman" w:cs="Times New Roman"/>
          <w:sz w:val="24"/>
          <w:szCs w:val="24"/>
        </w:rPr>
        <w:t xml:space="preserve">Further serum metabolomic results demonstrated that in both positive and negative ion modes, consistent with the lung tissue metabolomics findings. PCA and OPLS-DA indicated that AAD treatment significantly reversed the serum metabolic profile of ALI mice (Fig. S2A). Similarly, the quantitative analysis of the differential metabolites and the cluster analysis results indicated that AAD improved the metabolic disorders in mice induced by LPS (Fig. S2B-D, </w:t>
      </w:r>
      <w:r w:rsidRPr="000B3FF0">
        <w:rPr>
          <w:rFonts w:ascii="Times New Roman" w:hAnsi="Times New Roman" w:cs="Times New Roman"/>
          <w:i/>
          <w:iCs/>
          <w:sz w:val="24"/>
          <w:szCs w:val="24"/>
        </w:rPr>
        <w:t>P</w:t>
      </w:r>
      <w:r w:rsidRPr="000B3FF0">
        <w:rPr>
          <w:rFonts w:ascii="Times New Roman" w:hAnsi="Times New Roman" w:cs="Times New Roman"/>
          <w:sz w:val="24"/>
          <w:szCs w:val="24"/>
        </w:rPr>
        <w:t xml:space="preserve">&lt;0.05 or </w:t>
      </w:r>
      <w:r w:rsidRPr="000B3FF0">
        <w:rPr>
          <w:rFonts w:ascii="Times New Roman" w:hAnsi="Times New Roman" w:cs="Times New Roman"/>
          <w:i/>
          <w:iCs/>
          <w:sz w:val="24"/>
          <w:szCs w:val="24"/>
        </w:rPr>
        <w:t>P</w:t>
      </w:r>
      <w:r w:rsidRPr="000B3FF0">
        <w:rPr>
          <w:rFonts w:ascii="Times New Roman" w:hAnsi="Times New Roman" w:cs="Times New Roman"/>
          <w:sz w:val="24"/>
          <w:szCs w:val="24"/>
        </w:rPr>
        <w:t>&lt;0.01). Metabolic pathway enrichment analysis showed that AAD primarily participated in arachidonic acid metabolism (Fig. S2E). Correlation analysis indicated that arachidonic acid-related metabolites were associated with inflammatory factor indicators (Fig. S2F). These results suggest that AAD may alleviate LPS-induced ALI by modulating arachidonic acid metabolism, which serves as a key pathway regulating inflammatory levels.</w:t>
      </w:r>
    </w:p>
    <w:p w14:paraId="05181463" w14:textId="77777777" w:rsidR="00881F4C" w:rsidRPr="000B3FF0" w:rsidRDefault="00881F4C" w:rsidP="00881F4C">
      <w:pPr>
        <w:topLinePunct/>
        <w:adjustRightInd w:val="0"/>
        <w:spacing w:line="360" w:lineRule="auto"/>
        <w:rPr>
          <w:rFonts w:ascii="Times New Roman" w:hAnsi="Times New Roman" w:cs="Times New Roman"/>
          <w:b/>
          <w:bCs/>
          <w:sz w:val="24"/>
          <w:szCs w:val="24"/>
        </w:rPr>
      </w:pPr>
      <w:r w:rsidRPr="000B3FF0">
        <w:rPr>
          <w:rFonts w:ascii="Times New Roman" w:hAnsi="Times New Roman" w:cs="Times New Roman"/>
          <w:b/>
          <w:bCs/>
          <w:noProof/>
          <w:sz w:val="24"/>
          <w:szCs w:val="24"/>
        </w:rPr>
        <w:drawing>
          <wp:inline distT="0" distB="0" distL="114300" distR="114300" wp14:anchorId="1DEBF2FC" wp14:editId="7FD56A76">
            <wp:extent cx="5258435" cy="6209665"/>
            <wp:effectExtent l="0" t="0" r="18415" b="635"/>
            <wp:docPr id="24" name="图片 24" descr="Fig2-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ig2-血"/>
                    <pic:cNvPicPr>
                      <a:picLocks noChangeAspect="1"/>
                    </pic:cNvPicPr>
                  </pic:nvPicPr>
                  <pic:blipFill>
                    <a:blip r:embed="rId5"/>
                    <a:srcRect l="1687" t="917" r="1362" b="1246"/>
                    <a:stretch>
                      <a:fillRect/>
                    </a:stretch>
                  </pic:blipFill>
                  <pic:spPr>
                    <a:xfrm>
                      <a:off x="0" y="0"/>
                      <a:ext cx="5258435" cy="6209665"/>
                    </a:xfrm>
                    <a:prstGeom prst="rect">
                      <a:avLst/>
                    </a:prstGeom>
                  </pic:spPr>
                </pic:pic>
              </a:graphicData>
            </a:graphic>
          </wp:inline>
        </w:drawing>
      </w:r>
    </w:p>
    <w:p w14:paraId="07D2C893" w14:textId="77777777" w:rsidR="00881F4C" w:rsidRPr="000B3FF0" w:rsidRDefault="00881F4C" w:rsidP="00881F4C">
      <w:pPr>
        <w:topLinePunct/>
        <w:adjustRightInd w:val="0"/>
        <w:spacing w:line="360" w:lineRule="auto"/>
        <w:jc w:val="center"/>
        <w:rPr>
          <w:rFonts w:ascii="Times New Roman" w:hAnsi="Times New Roman" w:cs="Times New Roman"/>
          <w:sz w:val="24"/>
          <w:szCs w:val="24"/>
        </w:rPr>
      </w:pPr>
      <w:r w:rsidRPr="000B3FF0">
        <w:rPr>
          <w:rFonts w:ascii="Times New Roman" w:hAnsi="Times New Roman" w:cs="Times New Roman"/>
          <w:sz w:val="24"/>
          <w:szCs w:val="24"/>
        </w:rPr>
        <w:t>Figure S2 The effect of AAD on metabolic levels in the serum of ALI mice</w:t>
      </w:r>
    </w:p>
    <w:p w14:paraId="3C656221" w14:textId="77777777" w:rsidR="00881F4C" w:rsidRPr="000B3FF0" w:rsidRDefault="00881F4C" w:rsidP="00881F4C">
      <w:pPr>
        <w:topLinePunct/>
        <w:adjustRightInd w:val="0"/>
        <w:spacing w:line="360" w:lineRule="auto"/>
        <w:rPr>
          <w:rFonts w:ascii="Times New Roman" w:hAnsi="Times New Roman" w:cs="Times New Roman"/>
          <w:sz w:val="24"/>
          <w:szCs w:val="24"/>
        </w:rPr>
      </w:pPr>
      <w:r w:rsidRPr="000B3FF0">
        <w:rPr>
          <w:rFonts w:ascii="Times New Roman" w:hAnsi="Times New Roman" w:cs="Times New Roman"/>
          <w:sz w:val="24"/>
          <w:szCs w:val="24"/>
        </w:rPr>
        <w:t xml:space="preserve">A. PCA score plots, OPLS-DA scatter plots, S-plot scatter plots, and 200 permutation test plots for each group of serum samples in the positive and negative ion modes. B. Heatmap of cluster analysis for potential biomarkers in serum. C-D. Quantitative expression of metabolites related to the arachidonic acid metabolic pathway (n=4). E. Enrichment analysis of biomarker metabolic pathways. F. Correlation analysis between metabolites associated with arachidonic acid metabolism and inflammatory factors. The data were expressed as the mean ± SD. </w:t>
      </w:r>
      <w:r w:rsidRPr="000B3FF0">
        <w:rPr>
          <w:rFonts w:ascii="Times New Roman" w:hAnsi="Times New Roman" w:cs="Times New Roman"/>
          <w:sz w:val="24"/>
          <w:szCs w:val="24"/>
          <w:vertAlign w:val="superscript"/>
        </w:rPr>
        <w:t>#</w:t>
      </w:r>
      <w:r w:rsidRPr="000B3FF0">
        <w:rPr>
          <w:rFonts w:ascii="Times New Roman" w:hAnsi="Times New Roman" w:cs="Times New Roman"/>
          <w:i/>
          <w:sz w:val="24"/>
          <w:szCs w:val="24"/>
        </w:rPr>
        <w:t>P</w:t>
      </w:r>
      <w:r w:rsidRPr="000B3FF0">
        <w:rPr>
          <w:rFonts w:ascii="Times New Roman" w:hAnsi="Times New Roman" w:cs="Times New Roman"/>
          <w:sz w:val="24"/>
          <w:szCs w:val="24"/>
        </w:rPr>
        <w:t xml:space="preserve">&lt;0.05, </w:t>
      </w:r>
      <w:r w:rsidRPr="000B3FF0">
        <w:rPr>
          <w:rFonts w:ascii="Times New Roman" w:hAnsi="Times New Roman" w:cs="Times New Roman"/>
          <w:sz w:val="24"/>
          <w:szCs w:val="24"/>
          <w:vertAlign w:val="superscript"/>
        </w:rPr>
        <w:t>##</w:t>
      </w:r>
      <w:r w:rsidRPr="000B3FF0">
        <w:rPr>
          <w:rFonts w:ascii="Times New Roman" w:hAnsi="Times New Roman" w:cs="Times New Roman"/>
          <w:i/>
          <w:sz w:val="24"/>
          <w:szCs w:val="24"/>
        </w:rPr>
        <w:t>P</w:t>
      </w:r>
      <w:r w:rsidRPr="000B3FF0">
        <w:rPr>
          <w:rFonts w:ascii="Times New Roman" w:hAnsi="Times New Roman" w:cs="Times New Roman"/>
          <w:sz w:val="24"/>
          <w:szCs w:val="24"/>
        </w:rPr>
        <w:t xml:space="preserve">&lt;0.01 compared with the Con group. </w:t>
      </w:r>
      <w:r w:rsidRPr="000B3FF0">
        <w:rPr>
          <w:rFonts w:ascii="Times New Roman" w:hAnsi="Times New Roman" w:cs="Times New Roman"/>
          <w:sz w:val="24"/>
          <w:szCs w:val="24"/>
          <w:vertAlign w:val="superscript"/>
        </w:rPr>
        <w:t>*</w:t>
      </w:r>
      <w:r w:rsidRPr="000B3FF0">
        <w:rPr>
          <w:rFonts w:ascii="Times New Roman" w:hAnsi="Times New Roman" w:cs="Times New Roman"/>
          <w:i/>
          <w:sz w:val="24"/>
          <w:szCs w:val="24"/>
        </w:rPr>
        <w:t>P</w:t>
      </w:r>
      <w:r w:rsidRPr="000B3FF0">
        <w:rPr>
          <w:rFonts w:ascii="Times New Roman" w:hAnsi="Times New Roman" w:cs="Times New Roman"/>
          <w:sz w:val="24"/>
          <w:szCs w:val="24"/>
        </w:rPr>
        <w:t xml:space="preserve">&lt;0.05, </w:t>
      </w:r>
      <w:r w:rsidRPr="000B3FF0">
        <w:rPr>
          <w:rFonts w:ascii="Times New Roman" w:hAnsi="Times New Roman" w:cs="Times New Roman"/>
          <w:sz w:val="24"/>
          <w:szCs w:val="24"/>
          <w:vertAlign w:val="superscript"/>
        </w:rPr>
        <w:t>**</w:t>
      </w:r>
      <w:r w:rsidRPr="000B3FF0">
        <w:rPr>
          <w:rFonts w:ascii="Times New Roman" w:hAnsi="Times New Roman" w:cs="Times New Roman"/>
          <w:i/>
          <w:sz w:val="24"/>
          <w:szCs w:val="24"/>
        </w:rPr>
        <w:t>P</w:t>
      </w:r>
      <w:r w:rsidRPr="000B3FF0">
        <w:rPr>
          <w:rFonts w:ascii="Times New Roman" w:hAnsi="Times New Roman" w:cs="Times New Roman"/>
          <w:sz w:val="24"/>
          <w:szCs w:val="24"/>
        </w:rPr>
        <w:t xml:space="preserve">&lt;0.01 compared with the M group. </w:t>
      </w:r>
    </w:p>
    <w:p w14:paraId="187264B5" w14:textId="77777777" w:rsidR="00881F4C" w:rsidRPr="000B3FF0" w:rsidRDefault="00881F4C" w:rsidP="00881F4C">
      <w:pPr>
        <w:topLinePunct/>
        <w:adjustRightInd w:val="0"/>
        <w:spacing w:line="360" w:lineRule="auto"/>
        <w:rPr>
          <w:rFonts w:ascii="Times New Roman" w:hAnsi="Times New Roman" w:cs="Times New Roman"/>
          <w:b/>
          <w:bCs/>
          <w:sz w:val="24"/>
          <w:szCs w:val="24"/>
        </w:rPr>
      </w:pPr>
      <w:r w:rsidRPr="000B3FF0">
        <w:rPr>
          <w:rFonts w:ascii="Times New Roman" w:hAnsi="Times New Roman" w:cs="Times New Roman"/>
          <w:b/>
          <w:bCs/>
          <w:sz w:val="24"/>
          <w:szCs w:val="24"/>
        </w:rPr>
        <w:t>S3</w:t>
      </w:r>
    </w:p>
    <w:p w14:paraId="778E29A0" w14:textId="77777777" w:rsidR="00881F4C" w:rsidRPr="000B3FF0" w:rsidRDefault="00881F4C" w:rsidP="00881F4C">
      <w:pPr>
        <w:spacing w:line="360" w:lineRule="auto"/>
        <w:rPr>
          <w:rFonts w:ascii="Times New Roman" w:hAnsi="Times New Roman" w:cs="Times New Roman"/>
          <w:b/>
          <w:bCs/>
          <w:sz w:val="24"/>
          <w:szCs w:val="24"/>
        </w:rPr>
      </w:pPr>
      <w:r w:rsidRPr="000B3FF0">
        <w:rPr>
          <w:rFonts w:ascii="Times New Roman" w:hAnsi="Times New Roman" w:cs="Times New Roman"/>
          <w:bCs/>
          <w:sz w:val="24"/>
          <w:szCs w:val="24"/>
        </w:rPr>
        <w:t xml:space="preserve">Download the IL-17C protein sequence based on the Uniport number (Q9P0M4). And then use AlphaFold3 to predict its dimer structure. If the </w:t>
      </w:r>
      <w:proofErr w:type="spellStart"/>
      <w:r w:rsidRPr="000B3FF0">
        <w:rPr>
          <w:rFonts w:ascii="Times New Roman" w:hAnsi="Times New Roman" w:cs="Times New Roman"/>
          <w:bCs/>
          <w:sz w:val="24"/>
          <w:szCs w:val="24"/>
        </w:rPr>
        <w:t>pLDDT</w:t>
      </w:r>
      <w:proofErr w:type="spellEnd"/>
      <w:r w:rsidRPr="000B3FF0">
        <w:rPr>
          <w:rFonts w:ascii="Times New Roman" w:hAnsi="Times New Roman" w:cs="Times New Roman"/>
          <w:bCs/>
          <w:sz w:val="24"/>
          <w:szCs w:val="24"/>
        </w:rPr>
        <w:t xml:space="preserve">&gt;70, </w:t>
      </w:r>
      <w:proofErr w:type="spellStart"/>
      <w:r w:rsidRPr="000B3FF0">
        <w:rPr>
          <w:rFonts w:ascii="Times New Roman" w:hAnsi="Times New Roman" w:cs="Times New Roman"/>
          <w:bCs/>
          <w:sz w:val="24"/>
          <w:szCs w:val="24"/>
        </w:rPr>
        <w:t>pTM</w:t>
      </w:r>
      <w:proofErr w:type="spellEnd"/>
      <w:r w:rsidRPr="000B3FF0">
        <w:rPr>
          <w:rFonts w:ascii="Times New Roman" w:hAnsi="Times New Roman" w:cs="Times New Roman"/>
          <w:bCs/>
          <w:sz w:val="24"/>
          <w:szCs w:val="24"/>
        </w:rPr>
        <w:t xml:space="preserve">&gt;0.5, and </w:t>
      </w:r>
      <w:proofErr w:type="spellStart"/>
      <w:r w:rsidRPr="000B3FF0">
        <w:rPr>
          <w:rFonts w:ascii="Times New Roman" w:hAnsi="Times New Roman" w:cs="Times New Roman"/>
          <w:bCs/>
          <w:sz w:val="24"/>
          <w:szCs w:val="24"/>
        </w:rPr>
        <w:t>ipTM</w:t>
      </w:r>
      <w:proofErr w:type="spellEnd"/>
      <w:r w:rsidRPr="000B3FF0">
        <w:rPr>
          <w:rFonts w:ascii="Times New Roman" w:hAnsi="Times New Roman" w:cs="Times New Roman"/>
          <w:bCs/>
          <w:sz w:val="24"/>
          <w:szCs w:val="24"/>
        </w:rPr>
        <w:t>&gt;0.6, it indicates that the predicted structure is reliable. The protein structure of IL-17C is shown in Figure S3.</w:t>
      </w:r>
    </w:p>
    <w:p w14:paraId="23DFCFF8" w14:textId="77777777" w:rsidR="00881F4C" w:rsidRPr="000B3FF0" w:rsidRDefault="00881F4C" w:rsidP="00881F4C">
      <w:pPr>
        <w:spacing w:line="360" w:lineRule="auto"/>
        <w:rPr>
          <w:rFonts w:ascii="Times New Roman" w:hAnsi="Times New Roman" w:cs="Times New Roman"/>
          <w:b/>
          <w:bCs/>
          <w:sz w:val="24"/>
          <w:szCs w:val="24"/>
        </w:rPr>
      </w:pPr>
      <w:r w:rsidRPr="000B3FF0">
        <w:rPr>
          <w:rFonts w:ascii="Times New Roman" w:hAnsi="Times New Roman" w:cs="Times New Roman"/>
          <w:b/>
          <w:bCs/>
          <w:noProof/>
          <w:sz w:val="24"/>
          <w:szCs w:val="24"/>
        </w:rPr>
        <w:drawing>
          <wp:inline distT="0" distB="0" distL="114300" distR="114300" wp14:anchorId="3962248F" wp14:editId="052146D0">
            <wp:extent cx="5272405" cy="3336925"/>
            <wp:effectExtent l="0" t="0" r="4445" b="15875"/>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6"/>
                    <a:stretch>
                      <a:fillRect/>
                    </a:stretch>
                  </pic:blipFill>
                  <pic:spPr>
                    <a:xfrm>
                      <a:off x="0" y="0"/>
                      <a:ext cx="5272405" cy="3336925"/>
                    </a:xfrm>
                    <a:prstGeom prst="rect">
                      <a:avLst/>
                    </a:prstGeom>
                    <a:noFill/>
                    <a:ln>
                      <a:noFill/>
                    </a:ln>
                  </pic:spPr>
                </pic:pic>
              </a:graphicData>
            </a:graphic>
          </wp:inline>
        </w:drawing>
      </w:r>
    </w:p>
    <w:p w14:paraId="5C3A25D9" w14:textId="77777777" w:rsidR="00881F4C" w:rsidRPr="000B3FF0" w:rsidRDefault="00881F4C" w:rsidP="00881F4C">
      <w:pPr>
        <w:spacing w:line="360" w:lineRule="auto"/>
        <w:jc w:val="center"/>
        <w:rPr>
          <w:rFonts w:ascii="Times New Roman" w:eastAsia="SimSun" w:hAnsi="Times New Roman" w:cs="Times New Roman"/>
          <w:bCs/>
          <w:sz w:val="24"/>
          <w:szCs w:val="24"/>
        </w:rPr>
      </w:pPr>
      <w:r w:rsidRPr="000B3FF0">
        <w:rPr>
          <w:rFonts w:ascii="Times New Roman" w:hAnsi="Times New Roman" w:cs="Times New Roman"/>
          <w:bCs/>
          <w:sz w:val="24"/>
          <w:szCs w:val="24"/>
        </w:rPr>
        <w:t>Figure S3 IL-17C protein prediction structure</w:t>
      </w:r>
    </w:p>
    <w:p w14:paraId="3DCADDFC" w14:textId="77777777" w:rsidR="00881F4C" w:rsidRPr="000B3FF0" w:rsidRDefault="00881F4C" w:rsidP="00881F4C">
      <w:pPr>
        <w:spacing w:line="360" w:lineRule="auto"/>
        <w:rPr>
          <w:rFonts w:ascii="Times New Roman" w:hAnsi="Times New Roman" w:cs="Times New Roman"/>
          <w:b/>
          <w:bCs/>
          <w:sz w:val="24"/>
          <w:szCs w:val="24"/>
        </w:rPr>
      </w:pPr>
      <w:r w:rsidRPr="000B3FF0">
        <w:rPr>
          <w:rFonts w:ascii="Times New Roman" w:hAnsi="Times New Roman" w:cs="Times New Roman"/>
          <w:b/>
          <w:bCs/>
          <w:sz w:val="24"/>
          <w:szCs w:val="24"/>
        </w:rPr>
        <w:t>S4</w:t>
      </w:r>
    </w:p>
    <w:p w14:paraId="2AB2D275" w14:textId="77777777" w:rsidR="00881F4C" w:rsidRPr="000B3FF0" w:rsidRDefault="00881F4C" w:rsidP="00881F4C">
      <w:pPr>
        <w:spacing w:line="360" w:lineRule="auto"/>
        <w:rPr>
          <w:rFonts w:ascii="Times New Roman" w:hAnsi="Times New Roman" w:cs="Times New Roman"/>
          <w:sz w:val="24"/>
          <w:szCs w:val="24"/>
        </w:rPr>
      </w:pPr>
      <w:r w:rsidRPr="000B3FF0">
        <w:rPr>
          <w:rFonts w:ascii="Times New Roman" w:hAnsi="Times New Roman" w:cs="Times New Roman"/>
          <w:sz w:val="24"/>
          <w:szCs w:val="24"/>
        </w:rPr>
        <w:t xml:space="preserve">The synthesized silent RNA sequences: sgRNA 1: GAGACTTGCGCATTTTTTCA, sgRNA 2: GATGAGGGCGCTCGCAAACT. </w:t>
      </w:r>
    </w:p>
    <w:p w14:paraId="2940980A" w14:textId="77777777" w:rsidR="00881F4C" w:rsidRPr="000B3FF0" w:rsidRDefault="00881F4C" w:rsidP="00881F4C">
      <w:pPr>
        <w:spacing w:line="360" w:lineRule="auto"/>
        <w:rPr>
          <w:rFonts w:ascii="Times New Roman" w:hAnsi="Times New Roman" w:cs="Times New Roman"/>
          <w:b/>
          <w:bCs/>
          <w:sz w:val="24"/>
          <w:szCs w:val="24"/>
        </w:rPr>
      </w:pPr>
      <w:r w:rsidRPr="000B3FF0">
        <w:rPr>
          <w:rFonts w:ascii="Times New Roman" w:hAnsi="Times New Roman" w:cs="Times New Roman"/>
          <w:sz w:val="24"/>
          <w:szCs w:val="24"/>
        </w:rPr>
        <w:t>The overexpressed sequences are shown in Fig. S4.</w:t>
      </w:r>
    </w:p>
    <w:p w14:paraId="2E1580B0" w14:textId="77777777" w:rsidR="00881F4C" w:rsidRPr="000B3FF0" w:rsidRDefault="00881F4C" w:rsidP="00881F4C">
      <w:pPr>
        <w:spacing w:line="360" w:lineRule="auto"/>
        <w:rPr>
          <w:rFonts w:ascii="Times New Roman" w:eastAsia="SimSun" w:hAnsi="Times New Roman" w:cs="Times New Roman"/>
          <w:b/>
          <w:bCs/>
          <w:sz w:val="24"/>
          <w:szCs w:val="24"/>
        </w:rPr>
      </w:pPr>
      <w:r w:rsidRPr="000B3FF0">
        <w:rPr>
          <w:rFonts w:ascii="Times New Roman" w:eastAsia="SimSun" w:hAnsi="Times New Roman" w:cs="Times New Roman"/>
          <w:b/>
          <w:bCs/>
          <w:noProof/>
          <w:sz w:val="24"/>
          <w:szCs w:val="24"/>
        </w:rPr>
        <w:drawing>
          <wp:inline distT="0" distB="0" distL="114300" distR="114300" wp14:anchorId="68A64A44" wp14:editId="4E7BEF17">
            <wp:extent cx="5316855" cy="3076575"/>
            <wp:effectExtent l="0" t="0" r="17145" b="0"/>
            <wp:docPr id="26" name="图片 26" descr="IL-17A基因沉默与过表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L-17A基因沉默与过表达"/>
                    <pic:cNvPicPr>
                      <a:picLocks noChangeAspect="1"/>
                    </pic:cNvPicPr>
                  </pic:nvPicPr>
                  <pic:blipFill>
                    <a:blip r:embed="rId7"/>
                    <a:srcRect l="2384" t="2054" r="1361"/>
                    <a:stretch>
                      <a:fillRect/>
                    </a:stretch>
                  </pic:blipFill>
                  <pic:spPr>
                    <a:xfrm>
                      <a:off x="0" y="0"/>
                      <a:ext cx="5316855" cy="3076575"/>
                    </a:xfrm>
                    <a:prstGeom prst="rect">
                      <a:avLst/>
                    </a:prstGeom>
                  </pic:spPr>
                </pic:pic>
              </a:graphicData>
            </a:graphic>
          </wp:inline>
        </w:drawing>
      </w:r>
    </w:p>
    <w:p w14:paraId="09F6BD9A" w14:textId="77777777" w:rsidR="00881F4C" w:rsidRPr="000B3FF0" w:rsidRDefault="00881F4C" w:rsidP="00881F4C">
      <w:pPr>
        <w:spacing w:line="360" w:lineRule="auto"/>
        <w:jc w:val="center"/>
        <w:rPr>
          <w:rFonts w:ascii="Times New Roman" w:hAnsi="Times New Roman" w:cs="Times New Roman"/>
          <w:bCs/>
          <w:sz w:val="24"/>
          <w:szCs w:val="24"/>
        </w:rPr>
      </w:pPr>
      <w:r w:rsidRPr="000B3FF0">
        <w:rPr>
          <w:rFonts w:ascii="Times New Roman" w:hAnsi="Times New Roman" w:cs="Times New Roman"/>
          <w:bCs/>
          <w:sz w:val="24"/>
          <w:szCs w:val="24"/>
        </w:rPr>
        <w:t>Figure S4 The sequence of IL-17A gene silencing and overexpression</w:t>
      </w:r>
    </w:p>
    <w:p w14:paraId="59D4725E" w14:textId="77777777" w:rsidR="00881F4C" w:rsidRPr="000B3FF0" w:rsidRDefault="00881F4C" w:rsidP="00881F4C">
      <w:pPr>
        <w:spacing w:line="360" w:lineRule="auto"/>
        <w:rPr>
          <w:rFonts w:ascii="Times New Roman" w:hAnsi="Times New Roman" w:cs="Times New Roman"/>
          <w:bCs/>
          <w:szCs w:val="21"/>
        </w:rPr>
      </w:pPr>
      <w:r w:rsidRPr="000B3FF0">
        <w:rPr>
          <w:rFonts w:ascii="Times New Roman" w:hAnsi="Times New Roman" w:cs="Times New Roman"/>
          <w:bCs/>
          <w:sz w:val="24"/>
          <w:szCs w:val="24"/>
        </w:rPr>
        <w:t>A. IL-17A gene map. B. Vector V013 pcDNA3.1(+) map. C. IL17A(NM_001328553.2) in pcDNA3.1(+)</w:t>
      </w:r>
    </w:p>
    <w:p w14:paraId="041B544F" w14:textId="77777777" w:rsidR="00A01493" w:rsidRPr="000B3FF0" w:rsidRDefault="00A01493"/>
    <w:sectPr w:rsidR="00A01493" w:rsidRPr="000B3FF0" w:rsidSect="000B3F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F4C"/>
    <w:rsid w:val="000013B1"/>
    <w:rsid w:val="000048C5"/>
    <w:rsid w:val="00033C9A"/>
    <w:rsid w:val="00035F4A"/>
    <w:rsid w:val="00044EC2"/>
    <w:rsid w:val="0006762B"/>
    <w:rsid w:val="00074ED6"/>
    <w:rsid w:val="000913A9"/>
    <w:rsid w:val="000942B7"/>
    <w:rsid w:val="00094EEB"/>
    <w:rsid w:val="00096952"/>
    <w:rsid w:val="000A42E3"/>
    <w:rsid w:val="000A55A1"/>
    <w:rsid w:val="000B2176"/>
    <w:rsid w:val="000B3FF0"/>
    <w:rsid w:val="000D45FC"/>
    <w:rsid w:val="000E75F0"/>
    <w:rsid w:val="00103DC7"/>
    <w:rsid w:val="001134FB"/>
    <w:rsid w:val="001236C4"/>
    <w:rsid w:val="0012577F"/>
    <w:rsid w:val="00131B9A"/>
    <w:rsid w:val="001322FA"/>
    <w:rsid w:val="00145EF0"/>
    <w:rsid w:val="001563B3"/>
    <w:rsid w:val="00160DFE"/>
    <w:rsid w:val="0016137A"/>
    <w:rsid w:val="00162A30"/>
    <w:rsid w:val="00194DD8"/>
    <w:rsid w:val="00195B6D"/>
    <w:rsid w:val="00196441"/>
    <w:rsid w:val="00197C8F"/>
    <w:rsid w:val="001A2834"/>
    <w:rsid w:val="001A3B75"/>
    <w:rsid w:val="001C02E0"/>
    <w:rsid w:val="001C5D28"/>
    <w:rsid w:val="001D6951"/>
    <w:rsid w:val="001E1ED0"/>
    <w:rsid w:val="001E1F85"/>
    <w:rsid w:val="00210D15"/>
    <w:rsid w:val="0021550A"/>
    <w:rsid w:val="002262BF"/>
    <w:rsid w:val="0024019A"/>
    <w:rsid w:val="00247074"/>
    <w:rsid w:val="00250FBD"/>
    <w:rsid w:val="002521A2"/>
    <w:rsid w:val="0025383F"/>
    <w:rsid w:val="002649BD"/>
    <w:rsid w:val="00291A6C"/>
    <w:rsid w:val="002944C0"/>
    <w:rsid w:val="002966E1"/>
    <w:rsid w:val="002A3BDC"/>
    <w:rsid w:val="002A6EF8"/>
    <w:rsid w:val="002B6869"/>
    <w:rsid w:val="002C6990"/>
    <w:rsid w:val="002D4AB2"/>
    <w:rsid w:val="002E5EB6"/>
    <w:rsid w:val="002F1F2A"/>
    <w:rsid w:val="002F5738"/>
    <w:rsid w:val="0030494A"/>
    <w:rsid w:val="00311B2D"/>
    <w:rsid w:val="00312BCA"/>
    <w:rsid w:val="003133E3"/>
    <w:rsid w:val="003146C0"/>
    <w:rsid w:val="00354B84"/>
    <w:rsid w:val="00356744"/>
    <w:rsid w:val="0038272E"/>
    <w:rsid w:val="003923C5"/>
    <w:rsid w:val="003957DB"/>
    <w:rsid w:val="003A6FE1"/>
    <w:rsid w:val="003B05EB"/>
    <w:rsid w:val="003D221F"/>
    <w:rsid w:val="003D3FF7"/>
    <w:rsid w:val="003D52D8"/>
    <w:rsid w:val="003F0F73"/>
    <w:rsid w:val="00401900"/>
    <w:rsid w:val="00403B00"/>
    <w:rsid w:val="00404630"/>
    <w:rsid w:val="00404CFE"/>
    <w:rsid w:val="00404D51"/>
    <w:rsid w:val="00405956"/>
    <w:rsid w:val="004136CA"/>
    <w:rsid w:val="00427EAC"/>
    <w:rsid w:val="004465B1"/>
    <w:rsid w:val="004658B8"/>
    <w:rsid w:val="00470C81"/>
    <w:rsid w:val="00476926"/>
    <w:rsid w:val="00491A03"/>
    <w:rsid w:val="00492814"/>
    <w:rsid w:val="00496F77"/>
    <w:rsid w:val="00497392"/>
    <w:rsid w:val="004A3862"/>
    <w:rsid w:val="004C1F9D"/>
    <w:rsid w:val="004C474C"/>
    <w:rsid w:val="004C6667"/>
    <w:rsid w:val="004C6931"/>
    <w:rsid w:val="004E11A8"/>
    <w:rsid w:val="004F1BD3"/>
    <w:rsid w:val="00505E38"/>
    <w:rsid w:val="00523084"/>
    <w:rsid w:val="005246D0"/>
    <w:rsid w:val="005323B9"/>
    <w:rsid w:val="00535035"/>
    <w:rsid w:val="0055636A"/>
    <w:rsid w:val="005751C1"/>
    <w:rsid w:val="005809A5"/>
    <w:rsid w:val="00580DD3"/>
    <w:rsid w:val="005956F9"/>
    <w:rsid w:val="00595F2B"/>
    <w:rsid w:val="005A1029"/>
    <w:rsid w:val="005A1DC1"/>
    <w:rsid w:val="005B1B74"/>
    <w:rsid w:val="005B4B00"/>
    <w:rsid w:val="005C4F93"/>
    <w:rsid w:val="005C67F2"/>
    <w:rsid w:val="005C6F75"/>
    <w:rsid w:val="005D678F"/>
    <w:rsid w:val="005E2644"/>
    <w:rsid w:val="005F0B6F"/>
    <w:rsid w:val="00603B3B"/>
    <w:rsid w:val="00604C22"/>
    <w:rsid w:val="00610712"/>
    <w:rsid w:val="00611EA4"/>
    <w:rsid w:val="00632E73"/>
    <w:rsid w:val="00635359"/>
    <w:rsid w:val="006378DE"/>
    <w:rsid w:val="00640FF4"/>
    <w:rsid w:val="00656BC0"/>
    <w:rsid w:val="00670DB6"/>
    <w:rsid w:val="00672EA8"/>
    <w:rsid w:val="0069160B"/>
    <w:rsid w:val="00695E43"/>
    <w:rsid w:val="006B0E53"/>
    <w:rsid w:val="006C08BD"/>
    <w:rsid w:val="006C266D"/>
    <w:rsid w:val="006C7241"/>
    <w:rsid w:val="006D0C35"/>
    <w:rsid w:val="006D797A"/>
    <w:rsid w:val="006E09AA"/>
    <w:rsid w:val="006F7D1B"/>
    <w:rsid w:val="007101C0"/>
    <w:rsid w:val="007166B1"/>
    <w:rsid w:val="007226E2"/>
    <w:rsid w:val="00724278"/>
    <w:rsid w:val="007253E7"/>
    <w:rsid w:val="007379F0"/>
    <w:rsid w:val="00740A38"/>
    <w:rsid w:val="00741C66"/>
    <w:rsid w:val="00743182"/>
    <w:rsid w:val="0074774A"/>
    <w:rsid w:val="00750D0C"/>
    <w:rsid w:val="00754AE2"/>
    <w:rsid w:val="00757900"/>
    <w:rsid w:val="007631C2"/>
    <w:rsid w:val="0077035C"/>
    <w:rsid w:val="00772365"/>
    <w:rsid w:val="00783AC4"/>
    <w:rsid w:val="0078588C"/>
    <w:rsid w:val="007A3B42"/>
    <w:rsid w:val="007A48FE"/>
    <w:rsid w:val="007A4FDC"/>
    <w:rsid w:val="007A7B06"/>
    <w:rsid w:val="007B1518"/>
    <w:rsid w:val="007B58E4"/>
    <w:rsid w:val="007C36EF"/>
    <w:rsid w:val="007C76A9"/>
    <w:rsid w:val="007D677D"/>
    <w:rsid w:val="007E31CC"/>
    <w:rsid w:val="007E3999"/>
    <w:rsid w:val="007E39D5"/>
    <w:rsid w:val="007E51CD"/>
    <w:rsid w:val="007F5031"/>
    <w:rsid w:val="00801008"/>
    <w:rsid w:val="008021A0"/>
    <w:rsid w:val="00802BFA"/>
    <w:rsid w:val="00832BAB"/>
    <w:rsid w:val="0084008A"/>
    <w:rsid w:val="00850371"/>
    <w:rsid w:val="00850B3D"/>
    <w:rsid w:val="008510EE"/>
    <w:rsid w:val="008609FB"/>
    <w:rsid w:val="008624D8"/>
    <w:rsid w:val="008700E2"/>
    <w:rsid w:val="008706A8"/>
    <w:rsid w:val="00870766"/>
    <w:rsid w:val="00877D27"/>
    <w:rsid w:val="00881F4C"/>
    <w:rsid w:val="0089138A"/>
    <w:rsid w:val="008A1733"/>
    <w:rsid w:val="008B5FDE"/>
    <w:rsid w:val="008C1A5B"/>
    <w:rsid w:val="008C236B"/>
    <w:rsid w:val="00905D52"/>
    <w:rsid w:val="009354A7"/>
    <w:rsid w:val="00936330"/>
    <w:rsid w:val="00961613"/>
    <w:rsid w:val="0097560B"/>
    <w:rsid w:val="009829AD"/>
    <w:rsid w:val="00984A0B"/>
    <w:rsid w:val="00987830"/>
    <w:rsid w:val="00997F33"/>
    <w:rsid w:val="009B5547"/>
    <w:rsid w:val="009B7B04"/>
    <w:rsid w:val="009E3681"/>
    <w:rsid w:val="009E4CDC"/>
    <w:rsid w:val="009F389A"/>
    <w:rsid w:val="00A01493"/>
    <w:rsid w:val="00A3619B"/>
    <w:rsid w:val="00A36273"/>
    <w:rsid w:val="00A471F6"/>
    <w:rsid w:val="00A53502"/>
    <w:rsid w:val="00A8321D"/>
    <w:rsid w:val="00A83F0A"/>
    <w:rsid w:val="00A92608"/>
    <w:rsid w:val="00AA7445"/>
    <w:rsid w:val="00AB5F97"/>
    <w:rsid w:val="00AD0CD4"/>
    <w:rsid w:val="00AF51BF"/>
    <w:rsid w:val="00AF55D1"/>
    <w:rsid w:val="00AF59FA"/>
    <w:rsid w:val="00B12CD6"/>
    <w:rsid w:val="00B313BC"/>
    <w:rsid w:val="00B42808"/>
    <w:rsid w:val="00B5490A"/>
    <w:rsid w:val="00B73CFF"/>
    <w:rsid w:val="00B74941"/>
    <w:rsid w:val="00B75033"/>
    <w:rsid w:val="00B764B1"/>
    <w:rsid w:val="00B85A99"/>
    <w:rsid w:val="00B94570"/>
    <w:rsid w:val="00B94CFC"/>
    <w:rsid w:val="00B9527B"/>
    <w:rsid w:val="00BC695D"/>
    <w:rsid w:val="00BD06D4"/>
    <w:rsid w:val="00BD1E53"/>
    <w:rsid w:val="00BD29F3"/>
    <w:rsid w:val="00BD4DE5"/>
    <w:rsid w:val="00BE17F2"/>
    <w:rsid w:val="00BE518F"/>
    <w:rsid w:val="00BF3603"/>
    <w:rsid w:val="00C0394D"/>
    <w:rsid w:val="00C05DE0"/>
    <w:rsid w:val="00C16FAE"/>
    <w:rsid w:val="00C7653E"/>
    <w:rsid w:val="00CA5E06"/>
    <w:rsid w:val="00CB4773"/>
    <w:rsid w:val="00CB78DF"/>
    <w:rsid w:val="00CC0B85"/>
    <w:rsid w:val="00CC758E"/>
    <w:rsid w:val="00CF4B6A"/>
    <w:rsid w:val="00CF4EA6"/>
    <w:rsid w:val="00D01766"/>
    <w:rsid w:val="00D0698C"/>
    <w:rsid w:val="00D0714F"/>
    <w:rsid w:val="00D56DD5"/>
    <w:rsid w:val="00D6327B"/>
    <w:rsid w:val="00D72752"/>
    <w:rsid w:val="00D846A5"/>
    <w:rsid w:val="00D85EA4"/>
    <w:rsid w:val="00D8681E"/>
    <w:rsid w:val="00D86D5E"/>
    <w:rsid w:val="00D87AD5"/>
    <w:rsid w:val="00D93D03"/>
    <w:rsid w:val="00D943FA"/>
    <w:rsid w:val="00D94C22"/>
    <w:rsid w:val="00DA5C3A"/>
    <w:rsid w:val="00DA76A1"/>
    <w:rsid w:val="00DA7EF9"/>
    <w:rsid w:val="00DC39D2"/>
    <w:rsid w:val="00DE3C31"/>
    <w:rsid w:val="00DE74A6"/>
    <w:rsid w:val="00DE7B47"/>
    <w:rsid w:val="00DF11B4"/>
    <w:rsid w:val="00DF1372"/>
    <w:rsid w:val="00E02E9A"/>
    <w:rsid w:val="00E059F8"/>
    <w:rsid w:val="00E16C8C"/>
    <w:rsid w:val="00E24603"/>
    <w:rsid w:val="00E26A3D"/>
    <w:rsid w:val="00E45214"/>
    <w:rsid w:val="00E47874"/>
    <w:rsid w:val="00E56BCB"/>
    <w:rsid w:val="00E74F13"/>
    <w:rsid w:val="00E9439E"/>
    <w:rsid w:val="00E9573E"/>
    <w:rsid w:val="00EA3473"/>
    <w:rsid w:val="00EB5EB2"/>
    <w:rsid w:val="00EC776B"/>
    <w:rsid w:val="00EF0E05"/>
    <w:rsid w:val="00EF4B23"/>
    <w:rsid w:val="00EF7E1B"/>
    <w:rsid w:val="00F02C69"/>
    <w:rsid w:val="00F05022"/>
    <w:rsid w:val="00F134FE"/>
    <w:rsid w:val="00F23046"/>
    <w:rsid w:val="00F320B8"/>
    <w:rsid w:val="00F34D07"/>
    <w:rsid w:val="00F360A8"/>
    <w:rsid w:val="00F4714C"/>
    <w:rsid w:val="00F53E88"/>
    <w:rsid w:val="00F6522F"/>
    <w:rsid w:val="00F72D95"/>
    <w:rsid w:val="00F911C5"/>
    <w:rsid w:val="00F934AF"/>
    <w:rsid w:val="00F97CA1"/>
    <w:rsid w:val="00FA34AC"/>
    <w:rsid w:val="00FB30FD"/>
    <w:rsid w:val="00FC3049"/>
    <w:rsid w:val="00FD54B4"/>
    <w:rsid w:val="00FD7D64"/>
    <w:rsid w:val="00FE2115"/>
    <w:rsid w:val="00FE57C3"/>
    <w:rsid w:val="00FE7BEE"/>
    <w:rsid w:val="00FF5AE8"/>
    <w:rsid w:val="00FF672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73718"/>
  <w15:chartTrackingRefBased/>
  <w15:docId w15:val="{3AE62536-A522-4996-B979-42739551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F4C"/>
    <w:pPr>
      <w:widowControl w:val="0"/>
      <w:spacing w:after="0" w:line="240" w:lineRule="auto"/>
      <w:jc w:val="both"/>
    </w:pPr>
    <w:rPr>
      <w:rFonts w:eastAsiaTheme="minorEastAsia"/>
      <w:kern w:val="2"/>
      <w:sz w:val="21"/>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tiff"/><Relationship Id="rId4" Type="http://schemas.openxmlformats.org/officeDocument/2006/relationships/image" Target="media/image1.tif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451</Words>
  <Characters>2576</Characters>
  <Application>Microsoft Office Word</Application>
  <DocSecurity>0</DocSecurity>
  <Lines>21</Lines>
  <Paragraphs>6</Paragraphs>
  <ScaleCrop>false</ScaleCrop>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Revathi Thangaraj</dc:creator>
  <cp:keywords/>
  <dc:description/>
  <cp:lastModifiedBy>Revathi Thangaraj</cp:lastModifiedBy>
  <cp:revision>2</cp:revision>
  <dcterms:created xsi:type="dcterms:W3CDTF">2026-07-30T11:45:00Z</dcterms:created>
  <dcterms:modified xsi:type="dcterms:W3CDTF">2026-07-30T13:12:00Z</dcterms:modified>
</cp:coreProperties>
</file>