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141B0" w14:textId="77777777" w:rsidR="00B83E42" w:rsidRPr="005F1603" w:rsidRDefault="00B83E42" w:rsidP="00B83E42">
      <w:pPr>
        <w:pStyle w:val="Heading1"/>
        <w:ind w:firstLine="480"/>
        <w:jc w:val="center"/>
        <w:rPr>
          <w:rFonts w:eastAsiaTheme="minorEastAsia"/>
        </w:rPr>
      </w:pPr>
      <w:bookmarkStart w:id="0" w:name="_Hlk213177525"/>
      <w:bookmarkStart w:id="1" w:name="OLE_LINK3"/>
      <w:proofErr w:type="spellStart"/>
      <w:r w:rsidRPr="005F1603">
        <w:rPr>
          <w:rFonts w:eastAsiaTheme="minorEastAsia"/>
        </w:rPr>
        <w:t>FuTCM</w:t>
      </w:r>
      <w:proofErr w:type="spellEnd"/>
      <w:r w:rsidRPr="005F1603">
        <w:rPr>
          <w:rFonts w:eastAsiaTheme="minorEastAsia"/>
        </w:rPr>
        <w:t xml:space="preserve">-PDD: A Multi-Level Information Fusion Framework Integrating KAN Modeling and </w:t>
      </w:r>
      <w:proofErr w:type="spellStart"/>
      <w:r w:rsidRPr="005F1603">
        <w:rPr>
          <w:rFonts w:eastAsiaTheme="minorEastAsia"/>
        </w:rPr>
        <w:t>AutoML</w:t>
      </w:r>
      <w:proofErr w:type="spellEnd"/>
      <w:r w:rsidRPr="005F1603">
        <w:rPr>
          <w:rFonts w:eastAsiaTheme="minorEastAsia"/>
        </w:rPr>
        <w:t xml:space="preserve"> for Phenotype-Based Drug Discovery from Traditional Chinese Medicine</w:t>
      </w:r>
    </w:p>
    <w:p w14:paraId="03C1ACAC" w14:textId="77777777" w:rsidR="00B83E42" w:rsidRPr="005F1603" w:rsidRDefault="00B83E42" w:rsidP="00B83E42">
      <w:pPr>
        <w:ind w:firstLineChars="0" w:firstLine="0"/>
        <w:jc w:val="center"/>
        <w:rPr>
          <w:rFonts w:eastAsiaTheme="minorEastAsia"/>
        </w:rPr>
      </w:pPr>
      <w:proofErr w:type="spellStart"/>
      <w:r w:rsidRPr="005F1603">
        <w:rPr>
          <w:rFonts w:eastAsiaTheme="minorEastAsia" w:hint="eastAsia"/>
        </w:rPr>
        <w:t>Zewen</w:t>
      </w:r>
      <w:proofErr w:type="spellEnd"/>
      <w:r w:rsidRPr="005F1603">
        <w:rPr>
          <w:rFonts w:eastAsiaTheme="minorEastAsia" w:hint="eastAsia"/>
        </w:rPr>
        <w:t xml:space="preserve"> Wang </w:t>
      </w:r>
      <w:r w:rsidRPr="005F1603">
        <w:rPr>
          <w:rFonts w:eastAsiaTheme="minorEastAsia" w:hint="eastAsia"/>
          <w:vertAlign w:val="superscript"/>
        </w:rPr>
        <w:t>a</w:t>
      </w:r>
      <w:r w:rsidRPr="005F1603">
        <w:rPr>
          <w:rFonts w:eastAsiaTheme="minorEastAsia" w:hint="eastAsia"/>
        </w:rPr>
        <w:t xml:space="preserve">, </w:t>
      </w:r>
      <w:proofErr w:type="spellStart"/>
      <w:r w:rsidRPr="005F1603">
        <w:rPr>
          <w:rFonts w:eastAsiaTheme="minorEastAsia" w:hint="eastAsia"/>
        </w:rPr>
        <w:t>Yanxia</w:t>
      </w:r>
      <w:proofErr w:type="spellEnd"/>
      <w:r w:rsidRPr="005F1603">
        <w:rPr>
          <w:rFonts w:eastAsiaTheme="minorEastAsia" w:hint="eastAsia"/>
        </w:rPr>
        <w:t xml:space="preserve"> Liu </w:t>
      </w:r>
      <w:r w:rsidRPr="005F1603">
        <w:rPr>
          <w:rFonts w:eastAsiaTheme="minorEastAsia" w:hint="eastAsia"/>
          <w:vertAlign w:val="superscript"/>
        </w:rPr>
        <w:t>a</w:t>
      </w:r>
      <w:r w:rsidRPr="005F1603">
        <w:rPr>
          <w:rFonts w:eastAsiaTheme="minorEastAsia" w:hint="eastAsia"/>
        </w:rPr>
        <w:t>, Yue Ren</w:t>
      </w:r>
      <w:r w:rsidRPr="005F1603">
        <w:rPr>
          <w:rFonts w:eastAsiaTheme="minorEastAsia" w:hint="eastAsia"/>
          <w:vertAlign w:val="superscript"/>
        </w:rPr>
        <w:t xml:space="preserve"> a</w:t>
      </w:r>
      <w:r w:rsidRPr="005F1603">
        <w:rPr>
          <w:rFonts w:eastAsiaTheme="minorEastAsia" w:hint="eastAsia"/>
        </w:rPr>
        <w:t xml:space="preserve">, </w:t>
      </w:r>
      <w:proofErr w:type="spellStart"/>
      <w:r w:rsidRPr="005F1603">
        <w:rPr>
          <w:rFonts w:eastAsiaTheme="minorEastAsia" w:hint="eastAsia"/>
        </w:rPr>
        <w:t>Qun</w:t>
      </w:r>
      <w:proofErr w:type="spellEnd"/>
      <w:r w:rsidRPr="005F1603">
        <w:rPr>
          <w:rFonts w:eastAsiaTheme="minorEastAsia" w:hint="eastAsia"/>
        </w:rPr>
        <w:t xml:space="preserve"> Li</w:t>
      </w:r>
      <w:r w:rsidRPr="005F1603">
        <w:rPr>
          <w:rFonts w:eastAsiaTheme="minorEastAsia" w:hint="eastAsia"/>
          <w:vertAlign w:val="superscript"/>
        </w:rPr>
        <w:t xml:space="preserve"> a</w:t>
      </w:r>
      <w:r w:rsidRPr="005F1603">
        <w:rPr>
          <w:rFonts w:eastAsiaTheme="minorEastAsia" w:hint="eastAsia"/>
        </w:rPr>
        <w:t xml:space="preserve">, </w:t>
      </w:r>
      <w:proofErr w:type="spellStart"/>
      <w:r w:rsidRPr="005F1603">
        <w:rPr>
          <w:rFonts w:eastAsiaTheme="minorEastAsia" w:hint="eastAsia"/>
        </w:rPr>
        <w:t>Jiaye</w:t>
      </w:r>
      <w:proofErr w:type="spellEnd"/>
      <w:r w:rsidRPr="005F1603">
        <w:rPr>
          <w:rFonts w:eastAsiaTheme="minorEastAsia" w:hint="eastAsia"/>
        </w:rPr>
        <w:t xml:space="preserve"> Tian</w:t>
      </w:r>
      <w:r w:rsidRPr="005F1603">
        <w:rPr>
          <w:rFonts w:eastAsiaTheme="minorEastAsia" w:hint="eastAsia"/>
          <w:vertAlign w:val="superscript"/>
        </w:rPr>
        <w:t xml:space="preserve"> a</w:t>
      </w:r>
      <w:r w:rsidRPr="005F1603">
        <w:rPr>
          <w:rFonts w:eastAsiaTheme="minorEastAsia" w:hint="eastAsia"/>
        </w:rPr>
        <w:t xml:space="preserve">, Bin Yu </w:t>
      </w:r>
      <w:r w:rsidRPr="005F1603">
        <w:rPr>
          <w:rFonts w:eastAsiaTheme="minorEastAsia" w:hint="eastAsia"/>
          <w:vertAlign w:val="superscript"/>
        </w:rPr>
        <w:t>a</w:t>
      </w:r>
      <w:r w:rsidRPr="005F1603">
        <w:rPr>
          <w:rFonts w:eastAsiaTheme="minorEastAsia" w:hint="eastAsia"/>
        </w:rPr>
        <w:t xml:space="preserve">, </w:t>
      </w:r>
    </w:p>
    <w:p w14:paraId="3809EAA6" w14:textId="77777777" w:rsidR="00B83E42" w:rsidRPr="005F1603" w:rsidRDefault="00B83E42" w:rsidP="00B83E42">
      <w:pPr>
        <w:ind w:firstLineChars="0" w:firstLine="0"/>
        <w:jc w:val="center"/>
        <w:rPr>
          <w:rFonts w:eastAsiaTheme="minorEastAsia"/>
          <w:vertAlign w:val="superscript"/>
        </w:rPr>
      </w:pPr>
      <w:proofErr w:type="spellStart"/>
      <w:r w:rsidRPr="005F1603">
        <w:rPr>
          <w:rFonts w:eastAsiaTheme="minorEastAsia" w:hint="eastAsia"/>
        </w:rPr>
        <w:t>Yuezhong</w:t>
      </w:r>
      <w:proofErr w:type="spellEnd"/>
      <w:r w:rsidRPr="005F1603">
        <w:rPr>
          <w:rFonts w:eastAsiaTheme="minorEastAsia" w:hint="eastAsia"/>
        </w:rPr>
        <w:t xml:space="preserve"> Zhu </w:t>
      </w:r>
      <w:r w:rsidRPr="005F1603">
        <w:rPr>
          <w:rFonts w:eastAsiaTheme="minorEastAsia" w:hint="eastAsia"/>
          <w:vertAlign w:val="superscript"/>
        </w:rPr>
        <w:t>a</w:t>
      </w:r>
      <w:r w:rsidRPr="005F1603">
        <w:rPr>
          <w:rFonts w:eastAsiaTheme="minorEastAsia" w:hint="eastAsia"/>
        </w:rPr>
        <w:t xml:space="preserve">, </w:t>
      </w:r>
      <w:proofErr w:type="spellStart"/>
      <w:r w:rsidRPr="005F1603">
        <w:rPr>
          <w:rFonts w:eastAsiaTheme="minorEastAsia" w:hint="eastAsia"/>
        </w:rPr>
        <w:t>Jiaqi</w:t>
      </w:r>
      <w:proofErr w:type="spellEnd"/>
      <w:r w:rsidRPr="005F1603">
        <w:rPr>
          <w:rFonts w:eastAsiaTheme="minorEastAsia" w:hint="eastAsia"/>
        </w:rPr>
        <w:t xml:space="preserve"> Wang</w:t>
      </w:r>
      <w:r w:rsidRPr="005F1603">
        <w:rPr>
          <w:rFonts w:eastAsiaTheme="minorEastAsia" w:hint="eastAsia"/>
          <w:vertAlign w:val="superscript"/>
        </w:rPr>
        <w:t xml:space="preserve"> a</w:t>
      </w:r>
      <w:r w:rsidRPr="005F1603">
        <w:rPr>
          <w:rFonts w:eastAsiaTheme="minorEastAsia" w:hint="eastAsia"/>
        </w:rPr>
        <w:t>, Miao Li</w:t>
      </w:r>
      <w:r w:rsidRPr="005F1603">
        <w:rPr>
          <w:rFonts w:eastAsiaTheme="minorEastAsia" w:hint="eastAsia"/>
          <w:vertAlign w:val="superscript"/>
        </w:rPr>
        <w:t xml:space="preserve"> a</w:t>
      </w:r>
      <w:r w:rsidRPr="005F1603">
        <w:rPr>
          <w:rFonts w:eastAsiaTheme="minorEastAsia" w:hint="eastAsia"/>
        </w:rPr>
        <w:t xml:space="preserve">, </w:t>
      </w:r>
      <w:proofErr w:type="spellStart"/>
      <w:r w:rsidRPr="005F1603">
        <w:rPr>
          <w:rFonts w:eastAsiaTheme="minorEastAsia" w:hint="eastAsia"/>
        </w:rPr>
        <w:t>Liansheng</w:t>
      </w:r>
      <w:proofErr w:type="spellEnd"/>
      <w:r w:rsidRPr="005F1603">
        <w:rPr>
          <w:rFonts w:eastAsiaTheme="minorEastAsia" w:hint="eastAsia"/>
        </w:rPr>
        <w:t xml:space="preserve"> </w:t>
      </w:r>
      <w:proofErr w:type="spellStart"/>
      <w:r w:rsidRPr="005F1603">
        <w:rPr>
          <w:rFonts w:eastAsiaTheme="minorEastAsia" w:hint="eastAsia"/>
        </w:rPr>
        <w:t>Qiao</w:t>
      </w:r>
      <w:proofErr w:type="spellEnd"/>
      <w:r w:rsidRPr="005F1603">
        <w:rPr>
          <w:rFonts w:eastAsiaTheme="minorEastAsia" w:hint="eastAsia"/>
        </w:rPr>
        <w:t xml:space="preserve"> </w:t>
      </w:r>
      <w:r w:rsidRPr="005F1603">
        <w:rPr>
          <w:rFonts w:eastAsiaTheme="minorEastAsia" w:hint="eastAsia"/>
          <w:vertAlign w:val="superscript"/>
        </w:rPr>
        <w:t>a,*</w:t>
      </w:r>
      <w:r w:rsidRPr="005F1603">
        <w:rPr>
          <w:rFonts w:eastAsiaTheme="minorEastAsia" w:hint="eastAsia"/>
        </w:rPr>
        <w:t xml:space="preserve">, </w:t>
      </w:r>
      <w:proofErr w:type="spellStart"/>
      <w:r w:rsidRPr="005F1603">
        <w:rPr>
          <w:rFonts w:eastAsiaTheme="minorEastAsia" w:hint="eastAsia"/>
        </w:rPr>
        <w:t>Yanling</w:t>
      </w:r>
      <w:proofErr w:type="spellEnd"/>
      <w:r w:rsidRPr="005F1603">
        <w:rPr>
          <w:rFonts w:eastAsiaTheme="minorEastAsia" w:hint="eastAsia"/>
        </w:rPr>
        <w:t xml:space="preserve"> Zhang </w:t>
      </w:r>
      <w:r w:rsidRPr="005F1603">
        <w:rPr>
          <w:rFonts w:eastAsiaTheme="minorEastAsia" w:hint="eastAsia"/>
          <w:vertAlign w:val="superscript"/>
        </w:rPr>
        <w:t>a,*</w:t>
      </w:r>
    </w:p>
    <w:p w14:paraId="6F7BA391" w14:textId="77777777" w:rsidR="00B83E42" w:rsidRPr="005F1603" w:rsidRDefault="00B83E42" w:rsidP="00B83E42">
      <w:pPr>
        <w:ind w:firstLineChars="0" w:firstLine="0"/>
        <w:jc w:val="center"/>
        <w:rPr>
          <w:rFonts w:eastAsiaTheme="minorEastAsia"/>
        </w:rPr>
      </w:pPr>
      <w:r w:rsidRPr="005F1603">
        <w:rPr>
          <w:rFonts w:eastAsiaTheme="minorEastAsia" w:hint="eastAsia"/>
          <w:vertAlign w:val="superscript"/>
        </w:rPr>
        <w:t xml:space="preserve">1 </w:t>
      </w:r>
      <w:r w:rsidRPr="005F1603">
        <w:rPr>
          <w:rFonts w:eastAsiaTheme="minorEastAsia"/>
        </w:rPr>
        <w:t xml:space="preserve">Key Laboratory of TCM-information Engineer of State Administration of TCM, School of Chinese </w:t>
      </w:r>
      <w:proofErr w:type="spellStart"/>
      <w:r w:rsidRPr="005F1603">
        <w:rPr>
          <w:rFonts w:eastAsiaTheme="minorEastAsia"/>
        </w:rPr>
        <w:t>Materia</w:t>
      </w:r>
      <w:proofErr w:type="spellEnd"/>
      <w:r w:rsidRPr="005F1603">
        <w:rPr>
          <w:rFonts w:eastAsiaTheme="minorEastAsia"/>
        </w:rPr>
        <w:t xml:space="preserve"> </w:t>
      </w:r>
      <w:proofErr w:type="spellStart"/>
      <w:r w:rsidRPr="005F1603">
        <w:rPr>
          <w:rFonts w:eastAsiaTheme="minorEastAsia"/>
        </w:rPr>
        <w:t>Medica</w:t>
      </w:r>
      <w:proofErr w:type="spellEnd"/>
      <w:r w:rsidRPr="005F1603">
        <w:rPr>
          <w:rFonts w:eastAsiaTheme="minorEastAsia"/>
        </w:rPr>
        <w:t>, Beijing University of Chinese Medicine, Beijing 102488, China</w:t>
      </w:r>
    </w:p>
    <w:p w14:paraId="4CD6377A" w14:textId="77777777" w:rsidR="004157C1" w:rsidRPr="005F1603" w:rsidRDefault="004157C1" w:rsidP="00B83E42">
      <w:pPr>
        <w:ind w:firstLineChars="0" w:firstLine="0"/>
        <w:jc w:val="center"/>
        <w:rPr>
          <w:rFonts w:eastAsiaTheme="minorEastAsia"/>
        </w:rPr>
      </w:pPr>
    </w:p>
    <w:p w14:paraId="5FECD3B5" w14:textId="10686F6D" w:rsidR="004157C1" w:rsidRPr="005F1603" w:rsidRDefault="004157C1" w:rsidP="004157C1">
      <w:pPr>
        <w:ind w:firstLineChars="0" w:firstLine="0"/>
        <w:outlineLvl w:val="0"/>
        <w:rPr>
          <w:rFonts w:eastAsiaTheme="minorEastAsia"/>
          <w:b/>
          <w:bCs/>
        </w:rPr>
      </w:pPr>
      <w:bookmarkStart w:id="2" w:name="OLE_LINK31"/>
      <w:r w:rsidRPr="005F1603">
        <w:rPr>
          <w:rFonts w:eastAsiaTheme="minorEastAsia" w:hint="eastAsia"/>
          <w:b/>
          <w:bCs/>
        </w:rPr>
        <w:t>Supplementary Methods:</w:t>
      </w:r>
    </w:p>
    <w:bookmarkEnd w:id="0"/>
    <w:bookmarkEnd w:id="2"/>
    <w:p w14:paraId="419B3223" w14:textId="77777777" w:rsidR="00EE6682" w:rsidRPr="005F1603" w:rsidRDefault="00EE6682" w:rsidP="004157C1">
      <w:pPr>
        <w:pStyle w:val="Heading2"/>
      </w:pPr>
      <w:r w:rsidRPr="005F1603">
        <w:t>Compound cold-start validation</w:t>
      </w:r>
    </w:p>
    <w:p w14:paraId="79DF4818" w14:textId="018DE88A" w:rsidR="00EE6682" w:rsidRPr="005F1603" w:rsidRDefault="00EE6682" w:rsidP="007205D0">
      <w:pPr>
        <w:ind w:firstLine="480"/>
        <w:rPr>
          <w:rFonts w:eastAsiaTheme="minorEastAsia"/>
          <w:noProof/>
        </w:rPr>
      </w:pPr>
      <w:r w:rsidRPr="005F1603">
        <w:rPr>
          <w:rFonts w:eastAsiaTheme="minorEastAsia"/>
          <w:noProof/>
        </w:rPr>
        <w:t>To further evaluate the generalization ability of SYSTCM-TNet for unseen compounds, we performed an additional compound cold-start validation based on the DrugBank DTI dataset. In this setting, the compounds in the test set were completely absent from the training set, while all other procedures</w:t>
      </w:r>
      <w:r w:rsidRPr="005F1603">
        <w:rPr>
          <w:rFonts w:eastAsiaTheme="minorEastAsia" w:hint="eastAsia"/>
          <w:noProof/>
        </w:rPr>
        <w:t xml:space="preserve"> </w:t>
      </w:r>
      <w:r w:rsidRPr="005F1603">
        <w:rPr>
          <w:rFonts w:eastAsiaTheme="minorEastAsia"/>
          <w:noProof/>
        </w:rPr>
        <w:t xml:space="preserve">were kept consistent with those used in the random-split experiment. </w:t>
      </w:r>
      <w:bookmarkStart w:id="3" w:name="OLE_LINK42"/>
      <w:r w:rsidR="007205D0" w:rsidRPr="005F1603">
        <w:rPr>
          <w:rFonts w:eastAsiaTheme="minorEastAsia"/>
          <w:noProof/>
        </w:rPr>
        <w:t>This setting better reflects the downstream application scenario of predicting potential targets for Chinese Materia Medica compounds.</w:t>
      </w:r>
    </w:p>
    <w:bookmarkEnd w:id="3"/>
    <w:p w14:paraId="05DDC9B1" w14:textId="77777777" w:rsidR="00EE6682" w:rsidRPr="005F1603" w:rsidRDefault="00EE6682" w:rsidP="007205D0">
      <w:pPr>
        <w:ind w:firstLine="480"/>
        <w:rPr>
          <w:rFonts w:eastAsiaTheme="minorEastAsia"/>
          <w:noProof/>
        </w:rPr>
      </w:pPr>
      <w:r w:rsidRPr="005F1603">
        <w:rPr>
          <w:rFonts w:eastAsiaTheme="minorEastAsia"/>
          <w:noProof/>
        </w:rPr>
        <w:t>Model performance was evaluated using Recall@10, MAP@10, MRR@10, and NDCG@10, and was compared with that obtained under the random drug–target interaction-pair split to assess the potential overestimation caused by random splitting.</w:t>
      </w:r>
    </w:p>
    <w:p w14:paraId="288F4047" w14:textId="733BD31D" w:rsidR="00EE6682" w:rsidRPr="005F1603" w:rsidRDefault="007205D0" w:rsidP="004157C1">
      <w:pPr>
        <w:pStyle w:val="Heading2"/>
      </w:pPr>
      <w:r w:rsidRPr="005F1603">
        <w:rPr>
          <w:rFonts w:hint="eastAsia"/>
        </w:rPr>
        <w:t>Performance</w:t>
      </w:r>
      <w:r w:rsidR="00EE6682" w:rsidRPr="005F1603">
        <w:t xml:space="preserve"> of the </w:t>
      </w:r>
      <w:proofErr w:type="spellStart"/>
      <w:r w:rsidR="00EE6682" w:rsidRPr="005F1603">
        <w:t>ChEMBL</w:t>
      </w:r>
      <w:proofErr w:type="spellEnd"/>
      <w:r w:rsidR="00EE6682" w:rsidRPr="005F1603">
        <w:t xml:space="preserve"> external validation set</w:t>
      </w:r>
    </w:p>
    <w:p w14:paraId="1AA1A762" w14:textId="3E2C80B9" w:rsidR="00EE6682" w:rsidRPr="005F1603" w:rsidRDefault="00EE6682" w:rsidP="007205D0">
      <w:pPr>
        <w:ind w:firstLine="480"/>
        <w:rPr>
          <w:rFonts w:eastAsiaTheme="minorEastAsia"/>
          <w:noProof/>
        </w:rPr>
      </w:pPr>
      <w:r w:rsidRPr="005F1603">
        <w:rPr>
          <w:rFonts w:eastAsiaTheme="minorEastAsia"/>
          <w:noProof/>
        </w:rPr>
        <w:t xml:space="preserve">To evaluate the generalization ability of SYSTCM-TNet in an independent database, we constructed an external validation set based on ChEMBL. Human single-protein drug–target interaction records were retained, with compounds required to have standard SMILES information and targets required to have available protein sequence </w:t>
      </w:r>
      <w:r w:rsidRPr="005F1603">
        <w:rPr>
          <w:rFonts w:eastAsiaTheme="minorEastAsia"/>
          <w:noProof/>
        </w:rPr>
        <w:lastRenderedPageBreak/>
        <w:t>information. Drug–target pairs with pChEMBL ≥ 6 were defined as positive interactions</w:t>
      </w:r>
      <w:r w:rsidR="00E0187C" w:rsidRPr="005F1603">
        <w:rPr>
          <w:rFonts w:eastAsiaTheme="minorEastAsia"/>
          <w:noProof/>
        </w:rPr>
        <w:fldChar w:fldCharType="begin"/>
      </w:r>
      <w:r w:rsidR="00E0187C" w:rsidRPr="005F1603">
        <w:rPr>
          <w:rFonts w:eastAsiaTheme="minorEastAsia"/>
          <w:noProof/>
        </w:rPr>
        <w:instrText xml:space="preserve"> ADDIN EN.CITE &lt;EndNote&gt;&lt;Cite&gt;&lt;Author&gt;Savander&lt;/Author&gt;&lt;Year&gt;2025&lt;/Year&gt;&lt;RecNum&gt;309&lt;/RecNum&gt;&lt;DisplayText&gt;[1]&lt;/DisplayText&gt;&lt;record&gt;&lt;rec-number&gt;309&lt;/rec-number&gt;&lt;foreign-keys&gt;&lt;key app="EN" db-id="adavaetz6zxfdhetatnp0wsgzxv0ewswedta" timestamp="1783434657"&gt;309&lt;/key&gt;&lt;/foreign-keys&gt;&lt;ref-type name="Journal Article"&gt;17&lt;/ref-type&gt;&lt;contributors&gt;&lt;authors&gt;&lt;author&gt;Savander, Susanna&lt;/author&gt;&lt;author&gt;Curabaz, Nurettin Nusret&lt;/author&gt;&lt;author&gt;Abbasi, Amna Mumtaz&lt;/author&gt;&lt;author&gt;Khan, Asifullah&lt;/author&gt;&lt;author&gt;Saeed, Khalid&lt;/author&gt;&lt;author&gt;Tanoli, Ziaurrehman&lt;/author&gt;&lt;/authors&gt;&lt;/contributors&gt;&lt;titles&gt;&lt;title&gt;Data-driven strategies for drug repurposing: insights, recommendations, and case studies&lt;/title&gt;&lt;secondary-title&gt;Briefings in Bioinformatics&lt;/secondary-title&gt;&lt;/titles&gt;&lt;periodical&gt;&lt;full-title&gt;Briefings in Bioinformatics&lt;/full-title&gt;&lt;abbr-1&gt;Brief. Bioinform.&lt;/abbr-1&gt;&lt;abbr-2&gt;Brief Bioinform&lt;/abbr-2&gt;&lt;/periodical&gt;&lt;pages&gt;bbaf625&lt;/pages&gt;&lt;volume&gt;26&lt;/volume&gt;&lt;number&gt;6&lt;/number&gt;&lt;dates&gt;&lt;year&gt;2025&lt;/year&gt;&lt;/dates&gt;&lt;isbn&gt;1467-5463&lt;/isbn&gt;&lt;urls&gt;&lt;/urls&gt;&lt;/record&gt;&lt;/Cite&gt;&lt;/EndNote&gt;</w:instrText>
      </w:r>
      <w:r w:rsidR="00E0187C" w:rsidRPr="005F1603">
        <w:rPr>
          <w:rFonts w:eastAsiaTheme="minorEastAsia"/>
          <w:noProof/>
        </w:rPr>
        <w:fldChar w:fldCharType="separate"/>
      </w:r>
      <w:r w:rsidR="00E0187C" w:rsidRPr="005F1603">
        <w:rPr>
          <w:rFonts w:eastAsiaTheme="minorEastAsia"/>
          <w:noProof/>
        </w:rPr>
        <w:t>[1]</w:t>
      </w:r>
      <w:r w:rsidR="00E0187C" w:rsidRPr="005F1603">
        <w:rPr>
          <w:rFonts w:eastAsiaTheme="minorEastAsia"/>
          <w:noProof/>
        </w:rPr>
        <w:fldChar w:fldCharType="end"/>
      </w:r>
      <w:r w:rsidRPr="005F1603">
        <w:rPr>
          <w:rFonts w:eastAsiaTheme="minorEastAsia"/>
          <w:noProof/>
        </w:rPr>
        <w:t>. To avoid information overlap between the DrugBank training data and the ChEMBL external validation set, drug–target interaction pairs already present in DrugBank were further removed.</w:t>
      </w:r>
    </w:p>
    <w:p w14:paraId="469F07EF" w14:textId="77777777" w:rsidR="00EE6682" w:rsidRPr="005F1603" w:rsidRDefault="00EE6682" w:rsidP="007205D0">
      <w:pPr>
        <w:ind w:firstLine="480"/>
        <w:rPr>
          <w:rFonts w:eastAsiaTheme="minorEastAsia"/>
          <w:noProof/>
        </w:rPr>
      </w:pPr>
      <w:r w:rsidRPr="005F1603">
        <w:rPr>
          <w:rFonts w:eastAsiaTheme="minorEastAsia"/>
          <w:noProof/>
        </w:rPr>
        <w:t>Except for the source of positive samples, all remaining processing procedures for the ChEMBL external validation set were consistent with those used for the DrugBank dataset, including drug-side feature construction, protein-side feature construction, negative sampling, and ranking-based evaluation metrics. The trained SYSTCM-TNet model was directly applied to the ChEMBL external validation set without additional parameter updating.</w:t>
      </w:r>
    </w:p>
    <w:p w14:paraId="5E00318A" w14:textId="77777777" w:rsidR="00EE6682" w:rsidRPr="005F1603" w:rsidRDefault="00EE6682" w:rsidP="004157C1">
      <w:pPr>
        <w:pStyle w:val="Heading2"/>
      </w:pPr>
      <w:proofErr w:type="spellStart"/>
      <w:r w:rsidRPr="005F1603">
        <w:t>DrugBank</w:t>
      </w:r>
      <w:proofErr w:type="spellEnd"/>
      <w:r w:rsidRPr="005F1603">
        <w:t xml:space="preserve"> input-space-based chemical applicability-domain analysis</w:t>
      </w:r>
    </w:p>
    <w:p w14:paraId="4879738B" w14:textId="77777777" w:rsidR="00EE6682" w:rsidRPr="005F1603" w:rsidRDefault="00EE6682" w:rsidP="007205D0">
      <w:pPr>
        <w:ind w:firstLine="480"/>
        <w:rPr>
          <w:rFonts w:eastAsiaTheme="minorEastAsia"/>
          <w:noProof/>
        </w:rPr>
      </w:pPr>
      <w:r w:rsidRPr="005F1603">
        <w:rPr>
          <w:rFonts w:eastAsiaTheme="minorEastAsia"/>
          <w:noProof/>
        </w:rPr>
        <w:t>Considering that external validation performance may be influenced by chemical-space differences between DrugBank and ChEMBL, we further performed a chemical applicability-domain analysis based on the DrugBank training drug input space.</w:t>
      </w:r>
    </w:p>
    <w:p w14:paraId="7652715C" w14:textId="065B6AFC" w:rsidR="00EE6682" w:rsidRPr="005F1603" w:rsidRDefault="00EE6682" w:rsidP="007205D0">
      <w:pPr>
        <w:ind w:firstLine="480"/>
        <w:rPr>
          <w:rFonts w:eastAsiaTheme="minorEastAsia"/>
          <w:noProof/>
        </w:rPr>
      </w:pPr>
      <w:r w:rsidRPr="005F1603">
        <w:rPr>
          <w:rFonts w:eastAsiaTheme="minorEastAsia"/>
          <w:noProof/>
        </w:rPr>
        <w:t xml:space="preserve">First, the 2816-dimensional input vectors of DrugBank training drugs were used to fit the StandardScaler and PCA models, and DrugBank drugs, ChEMBL molecules, and </w:t>
      </w:r>
      <w:bookmarkStart w:id="4" w:name="OLE_LINK47"/>
      <w:r w:rsidRPr="005F1603">
        <w:rPr>
          <w:rFonts w:eastAsiaTheme="minorEastAsia"/>
          <w:noProof/>
        </w:rPr>
        <w:t>Chinese Materia Medica</w:t>
      </w:r>
      <w:bookmarkEnd w:id="4"/>
      <w:r w:rsidRPr="005F1603">
        <w:rPr>
          <w:rFonts w:eastAsiaTheme="minorEastAsia"/>
          <w:noProof/>
        </w:rPr>
        <w:t xml:space="preserve"> compounds were projected into the same PCA50 feature space. Next, for each DrugBank training drug, the Euclidean distance to its nearest DrugBank training neighbor was calculated, generating the internal nearest-neighbor distance distribution of DrugBank. The 99th percentile of this distribution was used as the threshold defining the DrugBank 99% chemical applicability domain</w:t>
      </w:r>
      <w:r w:rsidR="001A66AB" w:rsidRPr="005F1603">
        <w:rPr>
          <w:rFonts w:eastAsiaTheme="minorEastAsia"/>
          <w:noProof/>
        </w:rPr>
        <w:fldChar w:fldCharType="begin"/>
      </w:r>
      <w:r w:rsidR="001E6F4C" w:rsidRPr="005F1603">
        <w:rPr>
          <w:rFonts w:eastAsiaTheme="minorEastAsia"/>
          <w:noProof/>
        </w:rPr>
        <w:instrText xml:space="preserve"> ADDIN EN.CITE &lt;EndNote&gt;&lt;Cite&gt;&lt;Author&gt;Zakharov&lt;/Author&gt;&lt;Year&gt;2014&lt;/Year&gt;&lt;RecNum&gt;323&lt;/RecNum&gt;&lt;DisplayText&gt;[2]&lt;/DisplayText&gt;&lt;record&gt;&lt;rec-number&gt;323&lt;/rec-number&gt;&lt;foreign-keys&gt;&lt;key app="EN" db-id="adavaetz6zxfdhetatnp0wsgzxv0ewswedta" timestamp="1783830511"&gt;323&lt;/key&gt;&lt;/foreign-keys&gt;&lt;ref-type name="Journal Article"&gt;17&lt;/ref-type&gt;&lt;contributors&gt;&lt;authors&gt;&lt;author&gt;Zakharov, Alexey V&lt;/author&gt;&lt;author&gt;Peach, Megan L&lt;/author&gt;&lt;author&gt;Sitzmann, Markus&lt;/author&gt;&lt;author&gt;Nicklaus, Marc C&lt;/author&gt;&lt;/authors&gt;&lt;/contributors&gt;&lt;titles&gt;&lt;title&gt;QSAR modeling of imbalanced high-throughput screening data in PubChem&lt;/title&gt;&lt;secondary-title&gt;Journal of chemical information and modeling&lt;/secondary-title&gt;&lt;/titles&gt;&lt;periodical&gt;&lt;full-title&gt;Journal of Chemical Information and Modeling&lt;/full-title&gt;&lt;abbr-1&gt;J. Chem. Inf. Model.&lt;/abbr-1&gt;&lt;abbr-2&gt;J Chem Inf Model&lt;/abbr-2&gt;&lt;abbr-3&gt;Journal of Chemical Information &amp;amp; Modeling&lt;/abbr-3&gt;&lt;/periodical&gt;&lt;pages&gt;705-712&lt;/pages&gt;&lt;volume&gt;54&lt;/volume&gt;&lt;number&gt;3&lt;/number&gt;&lt;dates&gt;&lt;year&gt;2014&lt;/year&gt;&lt;/dates&gt;&lt;isbn&gt;1549-9596&lt;/isbn&gt;&lt;urls&gt;&lt;/urls&gt;&lt;/record&gt;&lt;/Cite&gt;&lt;/EndNote&gt;</w:instrText>
      </w:r>
      <w:r w:rsidR="001A66AB" w:rsidRPr="005F1603">
        <w:rPr>
          <w:rFonts w:eastAsiaTheme="minorEastAsia"/>
          <w:noProof/>
        </w:rPr>
        <w:fldChar w:fldCharType="separate"/>
      </w:r>
      <w:r w:rsidR="001E6F4C" w:rsidRPr="005F1603">
        <w:rPr>
          <w:rFonts w:eastAsiaTheme="minorEastAsia"/>
          <w:noProof/>
        </w:rPr>
        <w:t>[2]</w:t>
      </w:r>
      <w:r w:rsidR="001A66AB" w:rsidRPr="005F1603">
        <w:rPr>
          <w:rFonts w:eastAsiaTheme="minorEastAsia"/>
          <w:noProof/>
        </w:rPr>
        <w:fldChar w:fldCharType="end"/>
      </w:r>
      <w:r w:rsidRPr="005F1603">
        <w:rPr>
          <w:rFonts w:eastAsiaTheme="minorEastAsia"/>
          <w:noProof/>
        </w:rPr>
        <w:t>. For each molecule in the external validation set or Chinese Materia Medica dataset, its Euclidean distance to the nearest DrugBank training drug was calculated in the same PCA50 space. Molecules with distances not exceeding this threshold were considered to fall within the DrugBank 99% chemical applicability domain, whereas those exceeding the threshold were considered outside the applicability domain. UMAP was used only to visualize the overall distribution of DrugBank, ChEMBL, and Chinese Materia Medica molecules in the DrugBank-centered input space, and was not used for applicability-domain assignment.</w:t>
      </w:r>
    </w:p>
    <w:p w14:paraId="05BDFFAA" w14:textId="6345F40D" w:rsidR="00BC23C2" w:rsidRPr="005F1603" w:rsidRDefault="00BC23C2" w:rsidP="004157C1">
      <w:pPr>
        <w:pStyle w:val="Heading2"/>
      </w:pPr>
      <w:bookmarkStart w:id="5" w:name="OLE_LINK160"/>
      <w:r w:rsidRPr="005F1603">
        <w:rPr>
          <w:rFonts w:hint="eastAsia"/>
        </w:rPr>
        <w:t>N</w:t>
      </w:r>
      <w:r w:rsidRPr="005F1603">
        <w:t xml:space="preserve">ormalization analysis of Chinese </w:t>
      </w:r>
      <w:proofErr w:type="spellStart"/>
      <w:r w:rsidRPr="005F1603">
        <w:t>Materia</w:t>
      </w:r>
      <w:proofErr w:type="spellEnd"/>
      <w:r w:rsidRPr="005F1603">
        <w:t xml:space="preserve"> </w:t>
      </w:r>
      <w:proofErr w:type="spellStart"/>
      <w:r w:rsidRPr="005F1603">
        <w:t>Medica</w:t>
      </w:r>
      <w:proofErr w:type="spellEnd"/>
      <w:r w:rsidRPr="005F1603">
        <w:t>–pharmacological effect associations</w:t>
      </w:r>
    </w:p>
    <w:p w14:paraId="4AD7745D" w14:textId="406DA644" w:rsidR="00BC23C2" w:rsidRPr="005F1603" w:rsidRDefault="00BC23C2" w:rsidP="00097F00">
      <w:pPr>
        <w:ind w:firstLine="480"/>
        <w:rPr>
          <w:rFonts w:eastAsiaTheme="minorEastAsia"/>
          <w:noProof/>
        </w:rPr>
      </w:pPr>
      <w:r w:rsidRPr="005F1603">
        <w:rPr>
          <w:rFonts w:eastAsiaTheme="minorEastAsia"/>
          <w:noProof/>
        </w:rPr>
        <w:t xml:space="preserve">To assess the potential influence of research-volume bias on the construction of the Chinese Materia Medica–pharmacological effect association matrix, we performed an additional </w:t>
      </w:r>
      <w:r w:rsidRPr="005F1603">
        <w:rPr>
          <w:rFonts w:eastAsiaTheme="minorEastAsia" w:hint="eastAsia"/>
          <w:noProof/>
        </w:rPr>
        <w:t>n</w:t>
      </w:r>
      <w:r w:rsidRPr="005F1603">
        <w:rPr>
          <w:rFonts w:eastAsiaTheme="minorEastAsia"/>
          <w:noProof/>
        </w:rPr>
        <w:t xml:space="preserve">ormalization analysis. For each Chinese Materia Medica </w:t>
      </w:r>
      <w:r w:rsidRPr="005F1603">
        <w:rPr>
          <w:rFonts w:eastAsiaTheme="minorEastAsia"/>
          <w:i/>
          <w:iCs/>
          <w:noProof/>
        </w:rPr>
        <w:t>i</w:t>
      </w:r>
      <w:r w:rsidRPr="005F1603">
        <w:rPr>
          <w:rFonts w:eastAsiaTheme="minorEastAsia"/>
          <w:noProof/>
        </w:rPr>
        <w:t xml:space="preserve"> and pharmacological effect </w:t>
      </w:r>
      <w:r w:rsidRPr="005F1603">
        <w:rPr>
          <w:rFonts w:eastAsiaTheme="minorEastAsia"/>
          <w:i/>
          <w:iCs/>
          <w:noProof/>
        </w:rPr>
        <w:t>j</w:t>
      </w:r>
      <w:r w:rsidRPr="005F1603">
        <w:rPr>
          <w:rFonts w:eastAsiaTheme="minorEastAsia"/>
          <w:noProof/>
        </w:rPr>
        <w:t xml:space="preserve">, a proportional score was calculated by dividing the publication count of the corresponding Chinese Materia Medica–pharmacological effect pair by the total publication count of Chinese Materia Medica </w:t>
      </w:r>
      <w:r w:rsidRPr="005F1603">
        <w:rPr>
          <w:rFonts w:eastAsiaTheme="minorEastAsia"/>
          <w:i/>
          <w:iCs/>
          <w:noProof/>
        </w:rPr>
        <w:t>i</w:t>
      </w:r>
      <w:r w:rsidRPr="005F1603">
        <w:rPr>
          <w:rFonts w:eastAsiaTheme="minorEastAsia"/>
          <w:noProof/>
        </w:rPr>
        <w:t xml:space="preserve"> across all pharmacological effects</w:t>
      </w:r>
      <w:r w:rsidR="00DC1E46" w:rsidRPr="005F1603">
        <w:rPr>
          <w:rFonts w:eastAsiaTheme="minorEastAsia" w:hint="eastAsia"/>
          <w:noProof/>
        </w:rPr>
        <w:t>.</w:t>
      </w:r>
    </w:p>
    <w:p w14:paraId="43FA6324" w14:textId="1BE09C8D" w:rsidR="00DC1E46" w:rsidRPr="005F1603" w:rsidRDefault="00DC1E46" w:rsidP="00097F00">
      <w:pPr>
        <w:ind w:firstLine="480"/>
        <w:rPr>
          <w:rFonts w:eastAsiaTheme="minorEastAsia"/>
          <w:noProof/>
        </w:rPr>
      </w:pPr>
      <w:r w:rsidRPr="005F1603">
        <w:rPr>
          <w:rFonts w:eastAsiaTheme="minorEastAsia"/>
          <w:noProof/>
        </w:rPr>
        <w:t>To binarize the normalized scores, the distribution of all non-zero herb-wise proportional scores was examined, and the 60th percentile was selected as the cutoff. Chinese Materia Medica–pharmacological effect pairs with proportional scores greater than or equal to this cutoff were encoded as positive associations.</w:t>
      </w:r>
    </w:p>
    <w:p w14:paraId="559FF8D1" w14:textId="120728FE" w:rsidR="00DC1E46" w:rsidRPr="005F1603" w:rsidRDefault="00DC1E46" w:rsidP="00097F00">
      <w:pPr>
        <w:ind w:firstLine="480"/>
        <w:rPr>
          <w:rFonts w:eastAsiaTheme="minorEastAsia"/>
          <w:noProof/>
        </w:rPr>
      </w:pPr>
      <w:r w:rsidRPr="005F1603">
        <w:rPr>
          <w:rFonts w:eastAsiaTheme="minorEastAsia"/>
          <w:noProof/>
        </w:rPr>
        <w:t>To evaluate the consistency between the original publication count–based matrix and the normalized matrix, comparisons were performed at two levels. At the pharmacological-effect level, the number of associated Chinese Materia Medica was counted for each of the 40 pharmacological effects under both methods, and Pearson correlation analysis was used to evaluate consistency in pharmacological-effect coverage. At the cell level, the proportion of unchanged binary labels across all Chinese Materia Medica–pharmacological effect pairs was calculated as the cell-wise agreement.</w:t>
      </w:r>
    </w:p>
    <w:p w14:paraId="530DCFE4" w14:textId="202C33FE" w:rsidR="002075BF" w:rsidRPr="005F1603" w:rsidRDefault="00C33654" w:rsidP="004157C1">
      <w:pPr>
        <w:pStyle w:val="Heading2"/>
      </w:pPr>
      <w:bookmarkStart w:id="6" w:name="OLE_LINK130"/>
      <w:bookmarkStart w:id="7" w:name="OLE_LINK131"/>
      <w:bookmarkEnd w:id="5"/>
      <w:r w:rsidRPr="005F1603">
        <w:t>Same-size randomization analysis to control the funnel effect</w:t>
      </w:r>
    </w:p>
    <w:p w14:paraId="5A652C9E" w14:textId="77777777" w:rsidR="00FB28FD" w:rsidRPr="005F1603" w:rsidRDefault="00FB28FD" w:rsidP="00FB28FD">
      <w:pPr>
        <w:ind w:firstLine="480"/>
        <w:rPr>
          <w:rFonts w:eastAsiaTheme="minorEastAsia"/>
        </w:rPr>
      </w:pPr>
      <w:bookmarkStart w:id="8" w:name="OLE_LINK62"/>
      <w:bookmarkStart w:id="9" w:name="OLE_LINK12"/>
      <w:bookmarkStart w:id="10" w:name="OLE_LINK128"/>
      <w:bookmarkEnd w:id="6"/>
      <w:r w:rsidRPr="005F1603">
        <w:rPr>
          <w:rFonts w:eastAsiaTheme="minorEastAsia"/>
        </w:rPr>
        <w:t xml:space="preserve">To evaluate whether the efficacy network showed preferential enrichment of lipid-related mechanisms, we performed KEGG pathway enrichment analysis using the target genes of the dissipating-dampness-associated compounds in NRR. The targets associated with the treatment of hyperlipidemia by the </w:t>
      </w:r>
      <w:r w:rsidRPr="005F1603">
        <w:rPr>
          <w:rFonts w:eastAsiaTheme="minorEastAsia"/>
          <w:i/>
          <w:iCs/>
        </w:rPr>
        <w:t>dissipating-dampness</w:t>
      </w:r>
      <w:r w:rsidRPr="005F1603">
        <w:rPr>
          <w:rFonts w:eastAsiaTheme="minorEastAsia"/>
        </w:rPr>
        <w:t xml:space="preserve">-related compounds </w:t>
      </w:r>
      <w:proofErr w:type="gramStart"/>
      <w:r w:rsidRPr="005F1603">
        <w:rPr>
          <w:rFonts w:eastAsiaTheme="minorEastAsia"/>
        </w:rPr>
        <w:t>were then subjected</w:t>
      </w:r>
      <w:proofErr w:type="gramEnd"/>
      <w:r w:rsidRPr="005F1603">
        <w:rPr>
          <w:rFonts w:eastAsiaTheme="minorEastAsia"/>
        </w:rPr>
        <w:t xml:space="preserve"> to KEGG pathway enrichment analysis using </w:t>
      </w:r>
      <w:proofErr w:type="spellStart"/>
      <w:r w:rsidRPr="005F1603">
        <w:rPr>
          <w:rFonts w:eastAsiaTheme="minorEastAsia"/>
        </w:rPr>
        <w:t>Enrichr</w:t>
      </w:r>
      <w:proofErr w:type="spellEnd"/>
      <w:r w:rsidRPr="005F1603">
        <w:rPr>
          <w:rFonts w:eastAsiaTheme="minorEastAsia"/>
        </w:rPr>
        <w:t xml:space="preserve"> through </w:t>
      </w:r>
      <w:proofErr w:type="spellStart"/>
      <w:r w:rsidRPr="005F1603">
        <w:rPr>
          <w:rFonts w:eastAsiaTheme="minorEastAsia"/>
        </w:rPr>
        <w:t>gseapy</w:t>
      </w:r>
      <w:proofErr w:type="spellEnd"/>
      <w:r w:rsidRPr="005F1603">
        <w:rPr>
          <w:rFonts w:eastAsiaTheme="minorEastAsia"/>
        </w:rPr>
        <w:t>.</w:t>
      </w:r>
    </w:p>
    <w:p w14:paraId="766D9D29" w14:textId="77777777" w:rsidR="00FB28FD" w:rsidRPr="005F1603" w:rsidRDefault="00FB28FD" w:rsidP="00FB28FD">
      <w:pPr>
        <w:ind w:firstLine="480"/>
        <w:rPr>
          <w:rFonts w:eastAsiaTheme="minorEastAsia"/>
        </w:rPr>
      </w:pPr>
      <w:bookmarkStart w:id="11" w:name="OLE_LINK63"/>
      <w:bookmarkEnd w:id="8"/>
      <w:r w:rsidRPr="005F1603">
        <w:rPr>
          <w:rFonts w:eastAsiaTheme="minorEastAsia"/>
        </w:rPr>
        <w:t>Four lipid-related pathways</w:t>
      </w:r>
      <w:bookmarkEnd w:id="9"/>
      <w:r w:rsidRPr="005F1603">
        <w:rPr>
          <w:rFonts w:eastAsiaTheme="minorEastAsia"/>
        </w:rPr>
        <w:t xml:space="preserve"> </w:t>
      </w:r>
      <w:proofErr w:type="gramStart"/>
      <w:r w:rsidRPr="005F1603">
        <w:rPr>
          <w:rFonts w:eastAsiaTheme="minorEastAsia"/>
        </w:rPr>
        <w:t>were selected</w:t>
      </w:r>
      <w:proofErr w:type="gramEnd"/>
      <w:r w:rsidRPr="005F1603">
        <w:rPr>
          <w:rFonts w:eastAsiaTheme="minorEastAsia"/>
        </w:rPr>
        <w:t xml:space="preserve"> for focused comparison: lipid and atherosclerosis, arachidonic acid metabolism, linoleic acid metabolism, and fluid shear stress and atherosclerosis. To address whether the observed pathway prioritization was merely a funnel effect caused by reducing the network, we performed a same-size randomization control. Specifically, we randomly sampled 1,000 compound sets from the NRR compound pool, with each random set containing the same number of compounds as the </w:t>
      </w:r>
      <w:r w:rsidRPr="005F1603">
        <w:rPr>
          <w:rFonts w:eastAsiaTheme="minorEastAsia"/>
          <w:i/>
          <w:iCs/>
        </w:rPr>
        <w:t>dissipating-dampness</w:t>
      </w:r>
      <w:r w:rsidRPr="005F1603">
        <w:rPr>
          <w:rFonts w:eastAsiaTheme="minorEastAsia"/>
        </w:rPr>
        <w:t xml:space="preserve"> efficacy network. </w:t>
      </w:r>
      <w:bookmarkStart w:id="12" w:name="OLE_LINK65"/>
      <w:r w:rsidRPr="005F1603">
        <w:rPr>
          <w:rFonts w:eastAsiaTheme="minorEastAsia"/>
        </w:rPr>
        <w:t xml:space="preserve">The same KEGG enrichment workflow </w:t>
      </w:r>
      <w:proofErr w:type="gramStart"/>
      <w:r w:rsidRPr="005F1603">
        <w:rPr>
          <w:rFonts w:eastAsiaTheme="minorEastAsia"/>
        </w:rPr>
        <w:t>was applied</w:t>
      </w:r>
      <w:proofErr w:type="gramEnd"/>
      <w:r w:rsidRPr="005F1603">
        <w:rPr>
          <w:rFonts w:eastAsiaTheme="minorEastAsia"/>
        </w:rPr>
        <w:t xml:space="preserve"> to each random set using its corresponding compound targets.</w:t>
      </w:r>
      <w:bookmarkEnd w:id="11"/>
      <w:bookmarkEnd w:id="12"/>
    </w:p>
    <w:p w14:paraId="11B4C4AA" w14:textId="77777777" w:rsidR="002075BF" w:rsidRPr="005F1603" w:rsidRDefault="002075BF" w:rsidP="002075BF">
      <w:pPr>
        <w:ind w:firstLine="480"/>
        <w:rPr>
          <w:rFonts w:eastAsiaTheme="minorEastAsia"/>
        </w:rPr>
      </w:pPr>
      <w:r w:rsidRPr="005F1603">
        <w:rPr>
          <w:rFonts w:eastAsiaTheme="minorEastAsia"/>
        </w:rPr>
        <w:t xml:space="preserve">Pathways </w:t>
      </w:r>
      <w:proofErr w:type="gramStart"/>
      <w:r w:rsidRPr="005F1603">
        <w:rPr>
          <w:rFonts w:eastAsiaTheme="minorEastAsia"/>
        </w:rPr>
        <w:t>were ranked</w:t>
      </w:r>
      <w:proofErr w:type="gramEnd"/>
      <w:r w:rsidRPr="005F1603">
        <w:rPr>
          <w:rFonts w:eastAsiaTheme="minorEastAsia"/>
        </w:rPr>
        <w:t xml:space="preserve"> according to their enrichment </w:t>
      </w:r>
      <w:r w:rsidRPr="005F1603">
        <w:rPr>
          <w:rFonts w:eastAsiaTheme="minorEastAsia"/>
          <w:i/>
          <w:iCs/>
        </w:rPr>
        <w:t>P</w:t>
      </w:r>
      <w:r w:rsidRPr="005F1603">
        <w:rPr>
          <w:rFonts w:eastAsiaTheme="minorEastAsia"/>
        </w:rPr>
        <w:t xml:space="preserve"> values. For the four lipid-related pathways, we compared their rank percentiles in the dissipating-dampness efficacy network with the average rank percentiles obtained from the random compound networks. Lower percentile values indicate higher pathway prioritization. This analysis </w:t>
      </w:r>
      <w:proofErr w:type="gramStart"/>
      <w:r w:rsidRPr="005F1603">
        <w:rPr>
          <w:rFonts w:eastAsiaTheme="minorEastAsia"/>
        </w:rPr>
        <w:t>was used</w:t>
      </w:r>
      <w:proofErr w:type="gramEnd"/>
      <w:r w:rsidRPr="005F1603">
        <w:rPr>
          <w:rFonts w:eastAsiaTheme="minorEastAsia"/>
        </w:rPr>
        <w:t xml:space="preserve"> to assess whether lipid-related pathways were preferentially ranked in the efficacy-guided network compared with random same-size compound networks.</w:t>
      </w:r>
    </w:p>
    <w:p w14:paraId="4FC5F88E" w14:textId="77777777" w:rsidR="002075BF" w:rsidRPr="005F1603" w:rsidRDefault="002075BF" w:rsidP="004157C1">
      <w:pPr>
        <w:pStyle w:val="Heading2"/>
      </w:pPr>
      <w:bookmarkStart w:id="13" w:name="OLE_LINK162"/>
      <w:bookmarkStart w:id="14" w:name="OLE_LINK51"/>
      <w:bookmarkEnd w:id="7"/>
      <w:bookmarkEnd w:id="10"/>
      <w:r w:rsidRPr="005F1603">
        <w:t>Cell culture and viability assay</w:t>
      </w:r>
    </w:p>
    <w:bookmarkEnd w:id="13"/>
    <w:p w14:paraId="78DD3407" w14:textId="77777777" w:rsidR="002075BF" w:rsidRPr="005F1603" w:rsidRDefault="002075BF" w:rsidP="002075BF">
      <w:pPr>
        <w:ind w:firstLine="480"/>
        <w:rPr>
          <w:rFonts w:eastAsiaTheme="minorEastAsia"/>
        </w:rPr>
      </w:pPr>
      <w:r w:rsidRPr="005F1603">
        <w:rPr>
          <w:rFonts w:eastAsiaTheme="minorEastAsia"/>
        </w:rPr>
        <w:t xml:space="preserve">HepG2 cells </w:t>
      </w:r>
      <w:proofErr w:type="gramStart"/>
      <w:r w:rsidRPr="005F1603">
        <w:rPr>
          <w:rFonts w:eastAsiaTheme="minorEastAsia"/>
        </w:rPr>
        <w:t>were maintained</w:t>
      </w:r>
      <w:proofErr w:type="gramEnd"/>
      <w:r w:rsidRPr="005F1603">
        <w:rPr>
          <w:rFonts w:eastAsiaTheme="minorEastAsia"/>
        </w:rPr>
        <w:t xml:space="preserve"> in DMEM supplemented with 10% FBS and 1% penicillin–streptomycin at 37 °C in 5% CO</w:t>
      </w:r>
      <w:r w:rsidRPr="005F1603">
        <w:rPr>
          <w:rFonts w:ascii="Cambria Math" w:eastAsiaTheme="minorEastAsia" w:hAnsi="Cambria Math" w:cs="Cambria Math"/>
        </w:rPr>
        <w:t>₂</w:t>
      </w:r>
      <w:r w:rsidRPr="005F1603">
        <w:rPr>
          <w:rFonts w:eastAsiaTheme="minorEastAsia"/>
        </w:rPr>
        <w:t xml:space="preserve">. CCK8 </w:t>
      </w:r>
      <w:proofErr w:type="gramStart"/>
      <w:r w:rsidRPr="005F1603">
        <w:rPr>
          <w:rFonts w:eastAsiaTheme="minorEastAsia"/>
        </w:rPr>
        <w:t>was used</w:t>
      </w:r>
      <w:proofErr w:type="gramEnd"/>
      <w:r w:rsidRPr="005F1603">
        <w:rPr>
          <w:rFonts w:eastAsiaTheme="minorEastAsia"/>
        </w:rPr>
        <w:t xml:space="preserve"> to measure the absorbance at 450 nm wavelength. The cell survival rates are calculated as [(</w:t>
      </w:r>
      <w:proofErr w:type="spellStart"/>
      <w:r w:rsidRPr="005F1603">
        <w:rPr>
          <w:rFonts w:eastAsiaTheme="minorEastAsia"/>
        </w:rPr>
        <w:t>ODdrug-ODblank</w:t>
      </w:r>
      <w:proofErr w:type="spellEnd"/>
      <w:r w:rsidRPr="005F1603">
        <w:rPr>
          <w:rFonts w:eastAsiaTheme="minorEastAsia"/>
        </w:rPr>
        <w:t>)/ (</w:t>
      </w:r>
      <w:proofErr w:type="spellStart"/>
      <w:r w:rsidRPr="005F1603">
        <w:rPr>
          <w:rFonts w:eastAsiaTheme="minorEastAsia"/>
        </w:rPr>
        <w:t>ODcontrol-ODblank</w:t>
      </w:r>
      <w:proofErr w:type="spellEnd"/>
      <w:r w:rsidRPr="005F1603">
        <w:rPr>
          <w:rFonts w:eastAsiaTheme="minorEastAsia"/>
        </w:rPr>
        <w:t>)] × 100 %.</w:t>
      </w:r>
    </w:p>
    <w:p w14:paraId="6BD36A50" w14:textId="73453F36" w:rsidR="003360BE" w:rsidRPr="005F1603" w:rsidRDefault="003360BE" w:rsidP="004157C1">
      <w:pPr>
        <w:pStyle w:val="Heading2"/>
      </w:pPr>
      <w:bookmarkStart w:id="15" w:name="OLE_LINK164"/>
      <w:r w:rsidRPr="005F1603">
        <w:rPr>
          <w:rFonts w:hint="eastAsia"/>
        </w:rPr>
        <w:t>RT-qPCR</w:t>
      </w:r>
    </w:p>
    <w:p w14:paraId="51059D19" w14:textId="708F65D5" w:rsidR="008B70E2" w:rsidRPr="005F1603" w:rsidRDefault="008B70E2" w:rsidP="008B70E2">
      <w:pPr>
        <w:ind w:firstLine="480"/>
        <w:rPr>
          <w:rFonts w:eastAsiaTheme="minorEastAsia"/>
          <w:noProof/>
        </w:rPr>
      </w:pPr>
      <w:bookmarkStart w:id="16" w:name="OLE_LINK90"/>
      <w:bookmarkStart w:id="17" w:name="OLE_LINK89"/>
      <w:bookmarkEnd w:id="14"/>
      <w:bookmarkEnd w:id="15"/>
      <w:r w:rsidRPr="005F1603">
        <w:rPr>
          <w:rFonts w:eastAsiaTheme="minorEastAsia"/>
          <w:noProof/>
        </w:rPr>
        <w:t xml:space="preserve">Total RNA was extracted from cultured cells using an RNA extraction kit containing an RNase-free spin column CR3 (Tiangen, Beijing, China). The extracted RNA was reverse-transcribed into cDNA using the FastKing RT Kit with gDNase (Tiangen, Beijing, China). RT-qPCR was performed using TB Green® Premix Ex Taq™ (TaKaRa, Japan). Relative mRNA expression levels were calculated using the 2^−ΔΔCt method, with GAPDH serving as the internal reference gene. The primers were synthesized by Sangon Biotech (Shanghai, China), and their sequences are listed in Table S1. </w:t>
      </w:r>
      <w:bookmarkEnd w:id="16"/>
    </w:p>
    <w:bookmarkEnd w:id="17"/>
    <w:p w14:paraId="288B5C86" w14:textId="79EFD10B" w:rsidR="001C7B6B" w:rsidRPr="005F1603" w:rsidRDefault="001C7B6B" w:rsidP="001C7B6B">
      <w:pPr>
        <w:ind w:firstLineChars="0" w:firstLine="0"/>
        <w:jc w:val="center"/>
        <w:rPr>
          <w:rFonts w:eastAsiaTheme="minorEastAsia"/>
          <w:noProof/>
          <w:sz w:val="21"/>
          <w:szCs w:val="21"/>
        </w:rPr>
      </w:pPr>
      <w:r w:rsidRPr="005F1603">
        <w:rPr>
          <w:rFonts w:eastAsiaTheme="minorEastAsia"/>
          <w:noProof/>
          <w:sz w:val="21"/>
          <w:szCs w:val="21"/>
        </w:rPr>
        <w:t>Table S1 Primer sequences used for RT-qPCR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3233"/>
        <w:gridCol w:w="3650"/>
      </w:tblGrid>
      <w:tr w:rsidR="005F1603" w:rsidRPr="005F1603" w14:paraId="203D235B" w14:textId="77777777">
        <w:trPr>
          <w:jc w:val="center"/>
        </w:trPr>
        <w:tc>
          <w:tcPr>
            <w:tcW w:w="1413" w:type="dxa"/>
            <w:tcBorders>
              <w:top w:val="single" w:sz="12" w:space="0" w:color="auto"/>
              <w:left w:val="nil"/>
              <w:bottom w:val="single" w:sz="6" w:space="0" w:color="auto"/>
              <w:right w:val="nil"/>
            </w:tcBorders>
            <w:vAlign w:val="center"/>
            <w:hideMark/>
          </w:tcPr>
          <w:p w14:paraId="4CD38400"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Gene Name</w:t>
            </w:r>
          </w:p>
        </w:tc>
        <w:tc>
          <w:tcPr>
            <w:tcW w:w="3233" w:type="dxa"/>
            <w:tcBorders>
              <w:top w:val="single" w:sz="12" w:space="0" w:color="auto"/>
              <w:left w:val="nil"/>
              <w:bottom w:val="single" w:sz="6" w:space="0" w:color="auto"/>
              <w:right w:val="nil"/>
            </w:tcBorders>
            <w:vAlign w:val="center"/>
            <w:hideMark/>
          </w:tcPr>
          <w:p w14:paraId="697BCE10" w14:textId="292F796E" w:rsidR="008B70E2" w:rsidRPr="005F1603" w:rsidRDefault="008B70E2" w:rsidP="004157C1">
            <w:pPr>
              <w:ind w:firstLineChars="0" w:firstLine="0"/>
              <w:jc w:val="center"/>
              <w:rPr>
                <w:rFonts w:eastAsiaTheme="minorEastAsia"/>
                <w:sz w:val="21"/>
                <w:szCs w:val="21"/>
              </w:rPr>
            </w:pPr>
            <w:r w:rsidRPr="005F1603">
              <w:rPr>
                <w:rFonts w:eastAsiaTheme="minorEastAsia"/>
                <w:sz w:val="21"/>
                <w:szCs w:val="21"/>
              </w:rPr>
              <w:t xml:space="preserve">Forward Primer </w:t>
            </w:r>
          </w:p>
        </w:tc>
        <w:tc>
          <w:tcPr>
            <w:tcW w:w="3650" w:type="dxa"/>
            <w:tcBorders>
              <w:top w:val="single" w:sz="12" w:space="0" w:color="auto"/>
              <w:left w:val="nil"/>
              <w:bottom w:val="single" w:sz="6" w:space="0" w:color="auto"/>
              <w:right w:val="nil"/>
            </w:tcBorders>
            <w:vAlign w:val="center"/>
            <w:hideMark/>
          </w:tcPr>
          <w:p w14:paraId="4D9D2264" w14:textId="2A7DF961" w:rsidR="008B70E2" w:rsidRPr="005F1603" w:rsidRDefault="008B70E2" w:rsidP="004157C1">
            <w:pPr>
              <w:ind w:firstLineChars="0" w:firstLine="0"/>
              <w:jc w:val="center"/>
              <w:rPr>
                <w:rFonts w:eastAsiaTheme="minorEastAsia"/>
                <w:sz w:val="21"/>
                <w:szCs w:val="21"/>
              </w:rPr>
            </w:pPr>
            <w:r w:rsidRPr="005F1603">
              <w:rPr>
                <w:rFonts w:eastAsiaTheme="minorEastAsia"/>
                <w:sz w:val="21"/>
                <w:szCs w:val="21"/>
              </w:rPr>
              <w:t>Reverse Primer</w:t>
            </w:r>
          </w:p>
        </w:tc>
      </w:tr>
      <w:tr w:rsidR="005F1603" w:rsidRPr="005F1603" w14:paraId="461A12C8" w14:textId="77777777">
        <w:trPr>
          <w:jc w:val="center"/>
        </w:trPr>
        <w:tc>
          <w:tcPr>
            <w:tcW w:w="1413" w:type="dxa"/>
            <w:tcBorders>
              <w:top w:val="single" w:sz="6" w:space="0" w:color="auto"/>
              <w:left w:val="nil"/>
              <w:bottom w:val="nil"/>
              <w:right w:val="nil"/>
            </w:tcBorders>
            <w:vAlign w:val="center"/>
            <w:hideMark/>
          </w:tcPr>
          <w:p w14:paraId="64822968"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GAPDH</w:t>
            </w:r>
          </w:p>
        </w:tc>
        <w:tc>
          <w:tcPr>
            <w:tcW w:w="3233" w:type="dxa"/>
            <w:tcBorders>
              <w:top w:val="single" w:sz="6" w:space="0" w:color="auto"/>
              <w:left w:val="nil"/>
              <w:bottom w:val="nil"/>
              <w:right w:val="nil"/>
            </w:tcBorders>
            <w:vAlign w:val="center"/>
            <w:hideMark/>
          </w:tcPr>
          <w:p w14:paraId="707B6254"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GGAGCGAGATCCCTCCAAAAT</w:t>
            </w:r>
          </w:p>
        </w:tc>
        <w:tc>
          <w:tcPr>
            <w:tcW w:w="3650" w:type="dxa"/>
            <w:tcBorders>
              <w:top w:val="single" w:sz="6" w:space="0" w:color="auto"/>
              <w:left w:val="nil"/>
              <w:bottom w:val="nil"/>
              <w:right w:val="nil"/>
            </w:tcBorders>
            <w:vAlign w:val="center"/>
            <w:hideMark/>
          </w:tcPr>
          <w:p w14:paraId="487831C4"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GGCTGTTGTCATACTTCTCATGG</w:t>
            </w:r>
          </w:p>
        </w:tc>
      </w:tr>
      <w:tr w:rsidR="005F1603" w:rsidRPr="005F1603" w14:paraId="09B38F48" w14:textId="77777777">
        <w:trPr>
          <w:jc w:val="center"/>
        </w:trPr>
        <w:tc>
          <w:tcPr>
            <w:tcW w:w="1413" w:type="dxa"/>
            <w:vAlign w:val="center"/>
            <w:hideMark/>
          </w:tcPr>
          <w:p w14:paraId="714F4FAE"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FABP1</w:t>
            </w:r>
          </w:p>
        </w:tc>
        <w:tc>
          <w:tcPr>
            <w:tcW w:w="3233" w:type="dxa"/>
            <w:vAlign w:val="center"/>
            <w:hideMark/>
          </w:tcPr>
          <w:p w14:paraId="0AB0BBED"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GTGTCGGAAATCGTGCAGAAT</w:t>
            </w:r>
          </w:p>
        </w:tc>
        <w:tc>
          <w:tcPr>
            <w:tcW w:w="3650" w:type="dxa"/>
            <w:vAlign w:val="center"/>
            <w:hideMark/>
          </w:tcPr>
          <w:p w14:paraId="3926345C"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GACTTTCTCCCCTGTCATTGTC</w:t>
            </w:r>
          </w:p>
        </w:tc>
      </w:tr>
      <w:tr w:rsidR="008B70E2" w:rsidRPr="005F1603" w14:paraId="5E6BB5E1" w14:textId="77777777">
        <w:trPr>
          <w:jc w:val="center"/>
        </w:trPr>
        <w:tc>
          <w:tcPr>
            <w:tcW w:w="1413" w:type="dxa"/>
            <w:tcBorders>
              <w:top w:val="nil"/>
              <w:left w:val="nil"/>
              <w:bottom w:val="single" w:sz="12" w:space="0" w:color="auto"/>
              <w:right w:val="nil"/>
            </w:tcBorders>
            <w:vAlign w:val="center"/>
            <w:hideMark/>
          </w:tcPr>
          <w:p w14:paraId="488C792C"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CYP51A1</w:t>
            </w:r>
          </w:p>
        </w:tc>
        <w:tc>
          <w:tcPr>
            <w:tcW w:w="3233" w:type="dxa"/>
            <w:tcBorders>
              <w:top w:val="nil"/>
              <w:left w:val="nil"/>
              <w:bottom w:val="single" w:sz="12" w:space="0" w:color="auto"/>
              <w:right w:val="nil"/>
            </w:tcBorders>
            <w:vAlign w:val="center"/>
            <w:hideMark/>
          </w:tcPr>
          <w:p w14:paraId="501179C8"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AGGCGATGGAGAAGGTGAC</w:t>
            </w:r>
          </w:p>
        </w:tc>
        <w:tc>
          <w:tcPr>
            <w:tcW w:w="3650" w:type="dxa"/>
            <w:tcBorders>
              <w:top w:val="nil"/>
              <w:left w:val="nil"/>
              <w:bottom w:val="single" w:sz="12" w:space="0" w:color="auto"/>
              <w:right w:val="nil"/>
            </w:tcBorders>
            <w:vAlign w:val="center"/>
            <w:hideMark/>
          </w:tcPr>
          <w:p w14:paraId="4979BD9B" w14:textId="77777777" w:rsidR="008B70E2" w:rsidRPr="005F1603" w:rsidRDefault="008B70E2" w:rsidP="008B70E2">
            <w:pPr>
              <w:ind w:firstLineChars="0" w:firstLine="0"/>
              <w:rPr>
                <w:rFonts w:eastAsiaTheme="minorEastAsia"/>
                <w:sz w:val="21"/>
                <w:szCs w:val="21"/>
              </w:rPr>
            </w:pPr>
            <w:r w:rsidRPr="005F1603">
              <w:rPr>
                <w:rFonts w:eastAsiaTheme="minorEastAsia"/>
                <w:sz w:val="21"/>
                <w:szCs w:val="21"/>
              </w:rPr>
              <w:t>GTATGGAGGACTTTTCACCC</w:t>
            </w:r>
          </w:p>
        </w:tc>
      </w:tr>
    </w:tbl>
    <w:p w14:paraId="06D93398" w14:textId="77777777" w:rsidR="00BC23C2" w:rsidRPr="005F1603" w:rsidRDefault="00BC23C2" w:rsidP="000E2D99">
      <w:pPr>
        <w:ind w:firstLineChars="0" w:firstLine="0"/>
        <w:rPr>
          <w:rFonts w:eastAsiaTheme="minorEastAsia"/>
          <w:noProof/>
        </w:rPr>
      </w:pPr>
    </w:p>
    <w:p w14:paraId="7445093F" w14:textId="7E34E5E2" w:rsidR="000E2D99" w:rsidRPr="005F1603" w:rsidRDefault="004157C1" w:rsidP="004157C1">
      <w:pPr>
        <w:ind w:firstLineChars="0" w:firstLine="0"/>
        <w:outlineLvl w:val="0"/>
        <w:rPr>
          <w:rFonts w:eastAsiaTheme="minorEastAsia"/>
          <w:b/>
          <w:bCs/>
          <w:noProof/>
        </w:rPr>
      </w:pPr>
      <w:r w:rsidRPr="005F1603">
        <w:rPr>
          <w:rFonts w:eastAsiaTheme="minorEastAsia" w:hint="eastAsia"/>
          <w:b/>
          <w:bCs/>
          <w:noProof/>
        </w:rPr>
        <w:t xml:space="preserve">Supplementary </w:t>
      </w:r>
      <w:r w:rsidR="000E2D99" w:rsidRPr="005F1603">
        <w:rPr>
          <w:rFonts w:eastAsiaTheme="minorEastAsia" w:hint="eastAsia"/>
          <w:b/>
          <w:bCs/>
          <w:noProof/>
        </w:rPr>
        <w:t>Results</w:t>
      </w:r>
    </w:p>
    <w:p w14:paraId="208CFB68" w14:textId="77777777" w:rsidR="00EE6682" w:rsidRPr="005F1603" w:rsidRDefault="00EE6682" w:rsidP="004157C1">
      <w:pPr>
        <w:pStyle w:val="Heading2"/>
      </w:pPr>
      <w:bookmarkStart w:id="18" w:name="OLE_LINK53"/>
      <w:r w:rsidRPr="005F1603">
        <w:t>Compound cold-start validation indicates that the model retains target-ranking ability for unseen compounds</w:t>
      </w:r>
    </w:p>
    <w:p w14:paraId="5B95873E" w14:textId="14BD0B38" w:rsidR="00EE6682" w:rsidRPr="005F1603" w:rsidRDefault="00EE6682" w:rsidP="004157C1">
      <w:pPr>
        <w:ind w:firstLine="480"/>
        <w:rPr>
          <w:rFonts w:eastAsiaTheme="minorEastAsia"/>
          <w:noProof/>
        </w:rPr>
      </w:pPr>
      <w:r w:rsidRPr="005F1603">
        <w:rPr>
          <w:rFonts w:eastAsiaTheme="minorEastAsia"/>
          <w:noProof/>
        </w:rPr>
        <w:t>Under the original random drug–target interaction-pair split, SYSTCM-TNet achieved Recall@10, MAP@10, MRR@10, and NDCG@10 values of 0.4631, 0.2394, 0.2418, and 0.2880, respectively. Under the stricter compound cold-start setting, model performance decreased, with Recall@10, MAP@10, MRR@10, and NDCG@10 values of 0</w:t>
      </w:r>
      <w:bookmarkStart w:id="19" w:name="OLE_LINK93"/>
      <w:r w:rsidRPr="005F1603">
        <w:rPr>
          <w:rFonts w:eastAsiaTheme="minorEastAsia"/>
          <w:noProof/>
        </w:rPr>
        <w:t xml:space="preserve">.2252, 0.0952, 0.1281, and 0.1358, respectively </w:t>
      </w:r>
      <w:bookmarkEnd w:id="19"/>
      <w:r w:rsidRPr="005F1603">
        <w:rPr>
          <w:rFonts w:eastAsiaTheme="minorEastAsia"/>
          <w:noProof/>
        </w:rPr>
        <w:t>(Table S</w:t>
      </w:r>
      <w:r w:rsidR="006611A0" w:rsidRPr="005F1603">
        <w:rPr>
          <w:rFonts w:eastAsiaTheme="minorEastAsia" w:hint="eastAsia"/>
          <w:noProof/>
        </w:rPr>
        <w:t>2</w:t>
      </w:r>
      <w:r w:rsidRPr="005F1603">
        <w:rPr>
          <w:rFonts w:eastAsiaTheme="minorEastAsia"/>
          <w:noProof/>
        </w:rPr>
        <w:t>).</w:t>
      </w:r>
    </w:p>
    <w:p w14:paraId="12724ACA" w14:textId="77777777" w:rsidR="00EE6682" w:rsidRPr="005F1603" w:rsidRDefault="00EE6682" w:rsidP="004157C1">
      <w:pPr>
        <w:ind w:firstLine="480"/>
        <w:rPr>
          <w:rFonts w:eastAsiaTheme="minorEastAsia"/>
          <w:noProof/>
        </w:rPr>
      </w:pPr>
      <w:r w:rsidRPr="005F1603">
        <w:rPr>
          <w:rFonts w:eastAsiaTheme="minorEastAsia"/>
          <w:noProof/>
        </w:rPr>
        <w:t>These results indicate that random interaction-pair splitting may indeed overestimate model performance; nevertheless, SYSTCM-TNet still retained a certain degree of target-ranking ability when the test compounds were absent from the training set.</w:t>
      </w:r>
    </w:p>
    <w:p w14:paraId="7BB8009C" w14:textId="77777777" w:rsidR="004157C1" w:rsidRPr="005F1603" w:rsidRDefault="004157C1" w:rsidP="0007269C">
      <w:pPr>
        <w:spacing w:line="480" w:lineRule="auto"/>
        <w:ind w:firstLineChars="0" w:firstLine="0"/>
        <w:jc w:val="center"/>
        <w:rPr>
          <w:rFonts w:eastAsiaTheme="minorEastAsia" w:cs="Times New Roman"/>
          <w:sz w:val="21"/>
          <w:szCs w:val="21"/>
        </w:rPr>
      </w:pPr>
    </w:p>
    <w:p w14:paraId="4A9506E4" w14:textId="77777777" w:rsidR="004157C1" w:rsidRPr="005F1603" w:rsidRDefault="004157C1" w:rsidP="0007269C">
      <w:pPr>
        <w:spacing w:line="480" w:lineRule="auto"/>
        <w:ind w:firstLineChars="0" w:firstLine="0"/>
        <w:jc w:val="center"/>
        <w:rPr>
          <w:rFonts w:eastAsiaTheme="minorEastAsia" w:cs="Times New Roman"/>
          <w:sz w:val="21"/>
          <w:szCs w:val="21"/>
        </w:rPr>
      </w:pPr>
    </w:p>
    <w:p w14:paraId="3AA0EAE0" w14:textId="77777777" w:rsidR="004157C1" w:rsidRPr="005F1603" w:rsidRDefault="004157C1" w:rsidP="0007269C">
      <w:pPr>
        <w:spacing w:line="480" w:lineRule="auto"/>
        <w:ind w:firstLineChars="0" w:firstLine="0"/>
        <w:jc w:val="center"/>
        <w:rPr>
          <w:rFonts w:eastAsiaTheme="minorEastAsia" w:cs="Times New Roman"/>
          <w:sz w:val="21"/>
          <w:szCs w:val="21"/>
        </w:rPr>
      </w:pPr>
    </w:p>
    <w:p w14:paraId="66A5A058" w14:textId="77777777" w:rsidR="004157C1" w:rsidRPr="005F1603" w:rsidRDefault="004157C1" w:rsidP="0007269C">
      <w:pPr>
        <w:spacing w:line="480" w:lineRule="auto"/>
        <w:ind w:firstLineChars="0" w:firstLine="0"/>
        <w:jc w:val="center"/>
        <w:rPr>
          <w:rFonts w:eastAsiaTheme="minorEastAsia" w:cs="Times New Roman"/>
          <w:sz w:val="21"/>
          <w:szCs w:val="21"/>
        </w:rPr>
      </w:pPr>
    </w:p>
    <w:p w14:paraId="7AD8055C" w14:textId="4071BE7D" w:rsidR="0007269C" w:rsidRPr="005F1603" w:rsidRDefault="0007269C" w:rsidP="0007269C">
      <w:pPr>
        <w:spacing w:line="480" w:lineRule="auto"/>
        <w:ind w:firstLineChars="0" w:firstLine="0"/>
        <w:jc w:val="center"/>
        <w:rPr>
          <w:rFonts w:cs="Times New Roman"/>
          <w:b/>
          <w:bCs/>
          <w:sz w:val="21"/>
          <w:szCs w:val="21"/>
        </w:rPr>
      </w:pPr>
      <w:r w:rsidRPr="005F1603">
        <w:rPr>
          <w:rFonts w:cs="Times New Roman" w:hint="eastAsia"/>
          <w:sz w:val="21"/>
          <w:szCs w:val="21"/>
        </w:rPr>
        <w:t>Table S</w:t>
      </w:r>
      <w:r w:rsidR="001C7B6B" w:rsidRPr="005F1603">
        <w:rPr>
          <w:rFonts w:eastAsiaTheme="minorEastAsia" w:cs="Times New Roman" w:hint="eastAsia"/>
          <w:sz w:val="21"/>
          <w:szCs w:val="21"/>
        </w:rPr>
        <w:t>2</w:t>
      </w:r>
      <w:r w:rsidRPr="005F1603">
        <w:rPr>
          <w:rFonts w:cs="Times New Roman" w:hint="eastAsia"/>
          <w:sz w:val="21"/>
          <w:szCs w:val="21"/>
        </w:rPr>
        <w:t xml:space="preserve"> </w:t>
      </w:r>
      <w:r w:rsidRPr="005F1603">
        <w:rPr>
          <w:rFonts w:cs="Times New Roman"/>
          <w:sz w:val="21"/>
          <w:szCs w:val="21"/>
        </w:rPr>
        <w:t>Internal validation under random and compound cold-start data splits</w:t>
      </w:r>
    </w:p>
    <w:tbl>
      <w:tblPr>
        <w:tblStyle w:val="TableGrid"/>
        <w:tblW w:w="83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5"/>
        <w:gridCol w:w="1784"/>
        <w:gridCol w:w="1552"/>
        <w:gridCol w:w="1173"/>
        <w:gridCol w:w="1111"/>
        <w:gridCol w:w="1215"/>
      </w:tblGrid>
      <w:tr w:rsidR="005F1603" w:rsidRPr="005F1603" w14:paraId="4FEBB4E5" w14:textId="77777777" w:rsidTr="00AE0EA9">
        <w:trPr>
          <w:trHeight w:val="270"/>
          <w:jc w:val="center"/>
        </w:trPr>
        <w:tc>
          <w:tcPr>
            <w:tcW w:w="1675" w:type="dxa"/>
            <w:tcBorders>
              <w:top w:val="single" w:sz="12" w:space="0" w:color="auto"/>
              <w:bottom w:val="single" w:sz="6" w:space="0" w:color="auto"/>
            </w:tcBorders>
            <w:noWrap/>
            <w:vAlign w:val="center"/>
            <w:hideMark/>
          </w:tcPr>
          <w:p w14:paraId="4C528365" w14:textId="77777777" w:rsidR="0007269C" w:rsidRPr="005F1603" w:rsidRDefault="0007269C" w:rsidP="00AE0EA9">
            <w:pPr>
              <w:spacing w:line="480" w:lineRule="auto"/>
              <w:ind w:firstLineChars="0" w:firstLine="0"/>
              <w:jc w:val="center"/>
              <w:rPr>
                <w:rFonts w:cs="Times New Roman"/>
                <w:sz w:val="21"/>
                <w:szCs w:val="21"/>
              </w:rPr>
            </w:pPr>
            <w:bookmarkStart w:id="20" w:name="_Hlk233570138"/>
            <w:r w:rsidRPr="005F1603">
              <w:rPr>
                <w:rFonts w:cs="Times New Roman"/>
                <w:sz w:val="21"/>
                <w:szCs w:val="21"/>
              </w:rPr>
              <w:t>Model</w:t>
            </w:r>
          </w:p>
        </w:tc>
        <w:tc>
          <w:tcPr>
            <w:tcW w:w="1784" w:type="dxa"/>
            <w:tcBorders>
              <w:top w:val="single" w:sz="12" w:space="0" w:color="auto"/>
              <w:bottom w:val="single" w:sz="6" w:space="0" w:color="auto"/>
            </w:tcBorders>
            <w:noWrap/>
            <w:vAlign w:val="center"/>
            <w:hideMark/>
          </w:tcPr>
          <w:p w14:paraId="1487A5F7"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D</w:t>
            </w:r>
            <w:r w:rsidRPr="005F1603">
              <w:rPr>
                <w:rFonts w:cs="Times New Roman" w:hint="eastAsia"/>
                <w:sz w:val="21"/>
                <w:szCs w:val="21"/>
              </w:rPr>
              <w:t xml:space="preserve">ata </w:t>
            </w:r>
            <w:r w:rsidRPr="005F1603">
              <w:rPr>
                <w:rFonts w:cs="Times New Roman"/>
                <w:sz w:val="21"/>
                <w:szCs w:val="21"/>
              </w:rPr>
              <w:t>setting</w:t>
            </w:r>
          </w:p>
        </w:tc>
        <w:tc>
          <w:tcPr>
            <w:tcW w:w="1552" w:type="dxa"/>
            <w:tcBorders>
              <w:top w:val="single" w:sz="12" w:space="0" w:color="auto"/>
              <w:bottom w:val="single" w:sz="6" w:space="0" w:color="auto"/>
            </w:tcBorders>
            <w:noWrap/>
            <w:vAlign w:val="center"/>
            <w:hideMark/>
          </w:tcPr>
          <w:p w14:paraId="32F6BA44" w14:textId="48E94E05" w:rsidR="0007269C" w:rsidRPr="005F1603" w:rsidRDefault="008C0D1C" w:rsidP="00AE0EA9">
            <w:pPr>
              <w:spacing w:line="480" w:lineRule="auto"/>
              <w:ind w:firstLineChars="0" w:firstLine="0"/>
              <w:jc w:val="center"/>
              <w:rPr>
                <w:rFonts w:cs="Times New Roman"/>
                <w:sz w:val="21"/>
                <w:szCs w:val="21"/>
              </w:rPr>
            </w:pPr>
            <w:r w:rsidRPr="005F1603">
              <w:rPr>
                <w:rFonts w:eastAsiaTheme="minorEastAsia" w:cs="Times New Roman" w:hint="eastAsia"/>
                <w:sz w:val="21"/>
                <w:szCs w:val="21"/>
              </w:rPr>
              <w:t>RECALL</w:t>
            </w:r>
            <w:r w:rsidR="0007269C" w:rsidRPr="005F1603">
              <w:rPr>
                <w:rFonts w:cs="Times New Roman"/>
                <w:sz w:val="21"/>
                <w:szCs w:val="21"/>
              </w:rPr>
              <w:t>@10</w:t>
            </w:r>
          </w:p>
        </w:tc>
        <w:tc>
          <w:tcPr>
            <w:tcW w:w="1173" w:type="dxa"/>
            <w:tcBorders>
              <w:top w:val="single" w:sz="12" w:space="0" w:color="auto"/>
              <w:bottom w:val="single" w:sz="6" w:space="0" w:color="auto"/>
            </w:tcBorders>
            <w:noWrap/>
            <w:vAlign w:val="center"/>
            <w:hideMark/>
          </w:tcPr>
          <w:p w14:paraId="3E548BC2" w14:textId="1873FE9F" w:rsidR="0007269C" w:rsidRPr="005F1603" w:rsidRDefault="008C0D1C" w:rsidP="00AE0EA9">
            <w:pPr>
              <w:spacing w:line="480" w:lineRule="auto"/>
              <w:ind w:firstLineChars="0" w:firstLine="0"/>
              <w:jc w:val="center"/>
              <w:rPr>
                <w:rFonts w:cs="Times New Roman"/>
                <w:sz w:val="21"/>
                <w:szCs w:val="21"/>
              </w:rPr>
            </w:pPr>
            <w:r w:rsidRPr="005F1603">
              <w:rPr>
                <w:rFonts w:eastAsiaTheme="minorEastAsia" w:cs="Times New Roman" w:hint="eastAsia"/>
                <w:sz w:val="21"/>
                <w:szCs w:val="21"/>
              </w:rPr>
              <w:t>MAP</w:t>
            </w:r>
            <w:r w:rsidR="0007269C" w:rsidRPr="005F1603">
              <w:rPr>
                <w:rFonts w:cs="Times New Roman"/>
                <w:sz w:val="21"/>
                <w:szCs w:val="21"/>
              </w:rPr>
              <w:t>@10</w:t>
            </w:r>
          </w:p>
        </w:tc>
        <w:tc>
          <w:tcPr>
            <w:tcW w:w="1111" w:type="dxa"/>
            <w:tcBorders>
              <w:top w:val="single" w:sz="12" w:space="0" w:color="auto"/>
              <w:bottom w:val="single" w:sz="6" w:space="0" w:color="auto"/>
            </w:tcBorders>
            <w:noWrap/>
            <w:vAlign w:val="center"/>
            <w:hideMark/>
          </w:tcPr>
          <w:p w14:paraId="4C826F23" w14:textId="0B62C3EE" w:rsidR="0007269C" w:rsidRPr="005F1603" w:rsidRDefault="008C0D1C" w:rsidP="00AE0EA9">
            <w:pPr>
              <w:spacing w:line="480" w:lineRule="auto"/>
              <w:ind w:firstLineChars="0" w:firstLine="0"/>
              <w:jc w:val="center"/>
              <w:rPr>
                <w:rFonts w:cs="Times New Roman"/>
                <w:sz w:val="21"/>
                <w:szCs w:val="21"/>
              </w:rPr>
            </w:pPr>
            <w:r w:rsidRPr="005F1603">
              <w:rPr>
                <w:rFonts w:eastAsiaTheme="minorEastAsia" w:cs="Times New Roman" w:hint="eastAsia"/>
                <w:sz w:val="21"/>
                <w:szCs w:val="21"/>
              </w:rPr>
              <w:t>MRR</w:t>
            </w:r>
            <w:r w:rsidR="0007269C" w:rsidRPr="005F1603">
              <w:rPr>
                <w:rFonts w:cs="Times New Roman"/>
                <w:sz w:val="21"/>
                <w:szCs w:val="21"/>
              </w:rPr>
              <w:t>@10</w:t>
            </w:r>
          </w:p>
        </w:tc>
        <w:tc>
          <w:tcPr>
            <w:tcW w:w="1064" w:type="dxa"/>
            <w:tcBorders>
              <w:top w:val="single" w:sz="12" w:space="0" w:color="auto"/>
              <w:bottom w:val="single" w:sz="6" w:space="0" w:color="auto"/>
            </w:tcBorders>
            <w:noWrap/>
            <w:vAlign w:val="center"/>
            <w:hideMark/>
          </w:tcPr>
          <w:p w14:paraId="42EE6D81" w14:textId="35FB9523" w:rsidR="0007269C" w:rsidRPr="005F1603" w:rsidRDefault="008C0D1C" w:rsidP="00AE0EA9">
            <w:pPr>
              <w:spacing w:line="480" w:lineRule="auto"/>
              <w:ind w:firstLineChars="0" w:firstLine="0"/>
              <w:jc w:val="center"/>
              <w:rPr>
                <w:rFonts w:cs="Times New Roman"/>
                <w:sz w:val="21"/>
                <w:szCs w:val="21"/>
              </w:rPr>
            </w:pPr>
            <w:r w:rsidRPr="005F1603">
              <w:rPr>
                <w:rFonts w:eastAsiaTheme="minorEastAsia" w:cs="Times New Roman" w:hint="eastAsia"/>
                <w:sz w:val="21"/>
                <w:szCs w:val="21"/>
              </w:rPr>
              <w:t>NDCG</w:t>
            </w:r>
            <w:r w:rsidR="0007269C" w:rsidRPr="005F1603">
              <w:rPr>
                <w:rFonts w:cs="Times New Roman"/>
                <w:sz w:val="21"/>
                <w:szCs w:val="21"/>
              </w:rPr>
              <w:t>@10</w:t>
            </w:r>
          </w:p>
        </w:tc>
      </w:tr>
      <w:tr w:rsidR="005F1603" w:rsidRPr="005F1603" w14:paraId="408C6F6B" w14:textId="77777777" w:rsidTr="00AE0EA9">
        <w:trPr>
          <w:trHeight w:val="270"/>
          <w:jc w:val="center"/>
        </w:trPr>
        <w:tc>
          <w:tcPr>
            <w:tcW w:w="1675" w:type="dxa"/>
            <w:tcBorders>
              <w:top w:val="single" w:sz="6" w:space="0" w:color="auto"/>
            </w:tcBorders>
            <w:noWrap/>
            <w:vAlign w:val="center"/>
            <w:hideMark/>
          </w:tcPr>
          <w:p w14:paraId="20879687" w14:textId="0A76E775" w:rsidR="0007269C" w:rsidRPr="005F1603" w:rsidRDefault="0007269C" w:rsidP="00AE0EA9">
            <w:pPr>
              <w:spacing w:line="480" w:lineRule="auto"/>
              <w:ind w:firstLineChars="0" w:firstLine="0"/>
              <w:jc w:val="center"/>
              <w:rPr>
                <w:rFonts w:eastAsiaTheme="minorEastAsia" w:cs="Times New Roman"/>
                <w:sz w:val="21"/>
                <w:szCs w:val="21"/>
              </w:rPr>
            </w:pPr>
            <w:r w:rsidRPr="005F1603">
              <w:rPr>
                <w:rFonts w:cs="Times New Roman"/>
                <w:sz w:val="21"/>
                <w:szCs w:val="21"/>
              </w:rPr>
              <w:t>SYSTCM-</w:t>
            </w:r>
            <w:proofErr w:type="spellStart"/>
            <w:r w:rsidRPr="005F1603">
              <w:rPr>
                <w:rFonts w:cs="Times New Roman"/>
                <w:sz w:val="21"/>
                <w:szCs w:val="21"/>
              </w:rPr>
              <w:t>TNet</w:t>
            </w:r>
            <w:proofErr w:type="spellEnd"/>
          </w:p>
        </w:tc>
        <w:tc>
          <w:tcPr>
            <w:tcW w:w="1784" w:type="dxa"/>
            <w:tcBorders>
              <w:top w:val="single" w:sz="6" w:space="0" w:color="auto"/>
            </w:tcBorders>
            <w:noWrap/>
            <w:vAlign w:val="center"/>
            <w:hideMark/>
          </w:tcPr>
          <w:p w14:paraId="0CA66AA6"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Random split</w:t>
            </w:r>
          </w:p>
        </w:tc>
        <w:tc>
          <w:tcPr>
            <w:tcW w:w="1552" w:type="dxa"/>
            <w:tcBorders>
              <w:top w:val="single" w:sz="6" w:space="0" w:color="auto"/>
            </w:tcBorders>
            <w:noWrap/>
            <w:vAlign w:val="center"/>
            <w:hideMark/>
          </w:tcPr>
          <w:p w14:paraId="67561F38"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0.4631</w:t>
            </w:r>
          </w:p>
        </w:tc>
        <w:tc>
          <w:tcPr>
            <w:tcW w:w="1173" w:type="dxa"/>
            <w:tcBorders>
              <w:top w:val="single" w:sz="6" w:space="0" w:color="auto"/>
            </w:tcBorders>
            <w:noWrap/>
            <w:vAlign w:val="center"/>
            <w:hideMark/>
          </w:tcPr>
          <w:p w14:paraId="6DF89B08"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0.2394</w:t>
            </w:r>
          </w:p>
        </w:tc>
        <w:tc>
          <w:tcPr>
            <w:tcW w:w="1111" w:type="dxa"/>
            <w:tcBorders>
              <w:top w:val="single" w:sz="6" w:space="0" w:color="auto"/>
            </w:tcBorders>
            <w:noWrap/>
            <w:vAlign w:val="center"/>
            <w:hideMark/>
          </w:tcPr>
          <w:p w14:paraId="75606D20"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0.2418</w:t>
            </w:r>
          </w:p>
        </w:tc>
        <w:tc>
          <w:tcPr>
            <w:tcW w:w="1064" w:type="dxa"/>
            <w:tcBorders>
              <w:top w:val="single" w:sz="6" w:space="0" w:color="auto"/>
            </w:tcBorders>
            <w:noWrap/>
            <w:vAlign w:val="center"/>
            <w:hideMark/>
          </w:tcPr>
          <w:p w14:paraId="0F476222"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0.2880</w:t>
            </w:r>
          </w:p>
        </w:tc>
      </w:tr>
      <w:tr w:rsidR="005F1603" w:rsidRPr="005F1603" w14:paraId="5EB76A07" w14:textId="77777777" w:rsidTr="00AE0EA9">
        <w:trPr>
          <w:trHeight w:val="270"/>
          <w:jc w:val="center"/>
        </w:trPr>
        <w:tc>
          <w:tcPr>
            <w:tcW w:w="1675" w:type="dxa"/>
            <w:tcBorders>
              <w:bottom w:val="single" w:sz="12" w:space="0" w:color="auto"/>
            </w:tcBorders>
            <w:noWrap/>
            <w:vAlign w:val="center"/>
            <w:hideMark/>
          </w:tcPr>
          <w:p w14:paraId="669B3722" w14:textId="0532FDE7" w:rsidR="0007269C" w:rsidRPr="005F1603" w:rsidRDefault="0007269C" w:rsidP="00AE0EA9">
            <w:pPr>
              <w:spacing w:line="480" w:lineRule="auto"/>
              <w:ind w:firstLineChars="0" w:firstLine="0"/>
              <w:jc w:val="center"/>
              <w:rPr>
                <w:rFonts w:eastAsiaTheme="minorEastAsia" w:cs="Times New Roman"/>
                <w:sz w:val="21"/>
                <w:szCs w:val="21"/>
              </w:rPr>
            </w:pPr>
            <w:r w:rsidRPr="005F1603">
              <w:rPr>
                <w:rFonts w:cs="Times New Roman"/>
                <w:sz w:val="21"/>
                <w:szCs w:val="21"/>
              </w:rPr>
              <w:t>SYSTCM-</w:t>
            </w:r>
            <w:proofErr w:type="spellStart"/>
            <w:r w:rsidRPr="005F1603">
              <w:rPr>
                <w:rFonts w:cs="Times New Roman"/>
                <w:sz w:val="21"/>
                <w:szCs w:val="21"/>
              </w:rPr>
              <w:t>TNet</w:t>
            </w:r>
            <w:proofErr w:type="spellEnd"/>
          </w:p>
        </w:tc>
        <w:tc>
          <w:tcPr>
            <w:tcW w:w="1784" w:type="dxa"/>
            <w:tcBorders>
              <w:bottom w:val="single" w:sz="12" w:space="0" w:color="auto"/>
            </w:tcBorders>
            <w:noWrap/>
            <w:vAlign w:val="center"/>
            <w:hideMark/>
          </w:tcPr>
          <w:p w14:paraId="6B9EF654"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compound cold-start</w:t>
            </w:r>
          </w:p>
        </w:tc>
        <w:tc>
          <w:tcPr>
            <w:tcW w:w="1552" w:type="dxa"/>
            <w:tcBorders>
              <w:bottom w:val="single" w:sz="12" w:space="0" w:color="auto"/>
            </w:tcBorders>
            <w:noWrap/>
            <w:vAlign w:val="center"/>
            <w:hideMark/>
          </w:tcPr>
          <w:p w14:paraId="4C5CF2B2"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0.2252</w:t>
            </w:r>
          </w:p>
        </w:tc>
        <w:tc>
          <w:tcPr>
            <w:tcW w:w="1173" w:type="dxa"/>
            <w:tcBorders>
              <w:bottom w:val="single" w:sz="12" w:space="0" w:color="auto"/>
            </w:tcBorders>
            <w:noWrap/>
            <w:vAlign w:val="center"/>
            <w:hideMark/>
          </w:tcPr>
          <w:p w14:paraId="24D76C02"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0.0952</w:t>
            </w:r>
          </w:p>
        </w:tc>
        <w:tc>
          <w:tcPr>
            <w:tcW w:w="1111" w:type="dxa"/>
            <w:tcBorders>
              <w:bottom w:val="single" w:sz="12" w:space="0" w:color="auto"/>
            </w:tcBorders>
            <w:noWrap/>
            <w:vAlign w:val="center"/>
            <w:hideMark/>
          </w:tcPr>
          <w:p w14:paraId="77575E4B"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0.1281</w:t>
            </w:r>
          </w:p>
        </w:tc>
        <w:tc>
          <w:tcPr>
            <w:tcW w:w="1064" w:type="dxa"/>
            <w:tcBorders>
              <w:bottom w:val="single" w:sz="12" w:space="0" w:color="auto"/>
            </w:tcBorders>
            <w:noWrap/>
            <w:vAlign w:val="center"/>
            <w:hideMark/>
          </w:tcPr>
          <w:p w14:paraId="6DC94DB7" w14:textId="77777777" w:rsidR="0007269C" w:rsidRPr="005F1603" w:rsidRDefault="0007269C" w:rsidP="00AE0EA9">
            <w:pPr>
              <w:spacing w:line="480" w:lineRule="auto"/>
              <w:ind w:firstLineChars="0" w:firstLine="0"/>
              <w:jc w:val="center"/>
              <w:rPr>
                <w:rFonts w:cs="Times New Roman"/>
                <w:sz w:val="21"/>
                <w:szCs w:val="21"/>
              </w:rPr>
            </w:pPr>
            <w:r w:rsidRPr="005F1603">
              <w:rPr>
                <w:rFonts w:cs="Times New Roman"/>
                <w:sz w:val="21"/>
                <w:szCs w:val="21"/>
              </w:rPr>
              <w:t>0.1358</w:t>
            </w:r>
          </w:p>
        </w:tc>
      </w:tr>
    </w:tbl>
    <w:bookmarkEnd w:id="20"/>
    <w:p w14:paraId="7DAA405A" w14:textId="77777777" w:rsidR="00EE6682" w:rsidRPr="005F1603" w:rsidRDefault="00EE6682" w:rsidP="004157C1">
      <w:pPr>
        <w:pStyle w:val="Heading2"/>
      </w:pPr>
      <w:proofErr w:type="spellStart"/>
      <w:r w:rsidRPr="005F1603">
        <w:t>ChEMBL</w:t>
      </w:r>
      <w:proofErr w:type="spellEnd"/>
      <w:r w:rsidRPr="005F1603">
        <w:t xml:space="preserve"> external validation reveals that model generalization is affected by the chemical applicability domain</w:t>
      </w:r>
    </w:p>
    <w:p w14:paraId="0773B542" w14:textId="2F916818" w:rsidR="00EE6682" w:rsidRPr="005F1603" w:rsidRDefault="00EE6682" w:rsidP="004157C1">
      <w:pPr>
        <w:ind w:firstLine="480"/>
        <w:rPr>
          <w:rFonts w:eastAsiaTheme="minorEastAsia"/>
          <w:noProof/>
        </w:rPr>
      </w:pPr>
      <w:r w:rsidRPr="005F1603">
        <w:rPr>
          <w:rFonts w:eastAsiaTheme="minorEastAsia"/>
          <w:noProof/>
        </w:rPr>
        <w:t>On the full ChEMBL external validation set, SYSTCM-TNet achieved Recall@10, NDCG@10, MAP@10, and MRR@10 values</w:t>
      </w:r>
      <w:bookmarkStart w:id="21" w:name="OLE_LINK94"/>
      <w:r w:rsidRPr="005F1603">
        <w:rPr>
          <w:rFonts w:eastAsiaTheme="minorEastAsia"/>
          <w:noProof/>
        </w:rPr>
        <w:t xml:space="preserve"> of 0.1675, 0.1079, 0.0827, and 0.0995, respectively</w:t>
      </w:r>
      <w:bookmarkEnd w:id="21"/>
      <w:r w:rsidRPr="005F1603">
        <w:rPr>
          <w:rFonts w:eastAsiaTheme="minorEastAsia"/>
          <w:noProof/>
        </w:rPr>
        <w:t xml:space="preserve"> (Table S</w:t>
      </w:r>
      <w:r w:rsidR="006611A0" w:rsidRPr="005F1603">
        <w:rPr>
          <w:rFonts w:eastAsiaTheme="minorEastAsia" w:hint="eastAsia"/>
          <w:noProof/>
        </w:rPr>
        <w:t>3</w:t>
      </w:r>
      <w:r w:rsidRPr="005F1603">
        <w:rPr>
          <w:rFonts w:eastAsiaTheme="minorEastAsia"/>
          <w:noProof/>
        </w:rPr>
        <w:t>). This performance was lower than that observed in the DrugBank internal random-split test, suggesting a clear distributional difference between the ChEMBL external validation set and the DrugBank training data.</w:t>
      </w:r>
    </w:p>
    <w:p w14:paraId="7CFD627D" w14:textId="228AC683" w:rsidR="00EE6682" w:rsidRPr="005F1603" w:rsidRDefault="00EE6682" w:rsidP="004157C1">
      <w:pPr>
        <w:ind w:firstLine="480"/>
        <w:rPr>
          <w:rFonts w:eastAsiaTheme="minorEastAsia"/>
          <w:noProof/>
        </w:rPr>
      </w:pPr>
      <w:r w:rsidRPr="005F1603">
        <w:rPr>
          <w:rFonts w:eastAsiaTheme="minorEastAsia"/>
          <w:noProof/>
        </w:rPr>
        <w:t>To further interpret this observation, ChEMBL external molecules were stratified according to the DrugBank 99% chemical applicability domain. Among 474,393 ChEMBL external molecules, 12,598 molecules were located within the DrugBank 99% chemical applicability domain, accounting for 2.66% of the full ChEMBL external set. Molecules within this applicability domain showed markedly better ranking performance, with Recall@10, NDCG@10, MAP@10, and MRR@10 values of 0.2735, 0.1946, 0.1621, and 0.1828, respectively. In contrast, molecules outside the applicability domain achieved Recall@10, NDCG@10, MAP@10, and MRR@10 values of 0.1646, 0.1056, 0.0806, and 0.0973, respectively.</w:t>
      </w:r>
    </w:p>
    <w:p w14:paraId="1FB85A7C" w14:textId="77777777" w:rsidR="00EE6682" w:rsidRPr="005F1603" w:rsidRDefault="00EE6682" w:rsidP="004157C1">
      <w:pPr>
        <w:ind w:firstLine="480"/>
        <w:rPr>
          <w:rFonts w:eastAsiaTheme="minorEastAsia"/>
          <w:noProof/>
        </w:rPr>
      </w:pPr>
      <w:r w:rsidRPr="005F1603">
        <w:rPr>
          <w:rFonts w:eastAsiaTheme="minorEastAsia"/>
          <w:noProof/>
        </w:rPr>
        <w:t>These results indicate that the generalization ability of SYSTCM-TNet in an external database is closely related to the coverage of the training chemical space. External molecules located within the DrugBank-centered input space showed better target-ranking performance, whereas molecules outside this chemical applicability domain showed reduced performance. Therefore, the lower overall performance on the full ChEMBL external set mainly reflects chemical-space differences between the external database and the DrugBank training set.</w:t>
      </w:r>
    </w:p>
    <w:p w14:paraId="32EDA0C7" w14:textId="2C5AE224" w:rsidR="0007269C" w:rsidRPr="005F1603" w:rsidRDefault="0007269C" w:rsidP="00C17B7A">
      <w:pPr>
        <w:ind w:firstLineChars="0" w:firstLine="0"/>
        <w:jc w:val="center"/>
        <w:rPr>
          <w:rFonts w:eastAsiaTheme="minorEastAsia"/>
          <w:noProof/>
          <w:sz w:val="21"/>
          <w:szCs w:val="21"/>
        </w:rPr>
      </w:pPr>
      <w:r w:rsidRPr="005F1603">
        <w:rPr>
          <w:rFonts w:eastAsiaTheme="minorEastAsia"/>
          <w:noProof/>
          <w:sz w:val="21"/>
          <w:szCs w:val="21"/>
        </w:rPr>
        <w:t>Table S</w:t>
      </w:r>
      <w:r w:rsidR="001C7B6B" w:rsidRPr="005F1603">
        <w:rPr>
          <w:rFonts w:eastAsiaTheme="minorEastAsia" w:hint="eastAsia"/>
          <w:noProof/>
          <w:sz w:val="21"/>
          <w:szCs w:val="21"/>
        </w:rPr>
        <w:t>3</w:t>
      </w:r>
      <w:r w:rsidRPr="005F1603">
        <w:rPr>
          <w:rFonts w:eastAsiaTheme="minorEastAsia"/>
          <w:noProof/>
          <w:sz w:val="21"/>
          <w:szCs w:val="21"/>
        </w:rPr>
        <w:t xml:space="preserve"> External validation performance across the DrugBank-defined applicability domain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0"/>
        <w:gridCol w:w="1272"/>
        <w:gridCol w:w="1437"/>
        <w:gridCol w:w="1215"/>
        <w:gridCol w:w="1075"/>
        <w:gridCol w:w="1087"/>
      </w:tblGrid>
      <w:tr w:rsidR="005F1603" w:rsidRPr="005F1603" w14:paraId="013F4FB1" w14:textId="77777777">
        <w:tc>
          <w:tcPr>
            <w:tcW w:w="0" w:type="auto"/>
            <w:tcBorders>
              <w:top w:val="single" w:sz="12" w:space="0" w:color="auto"/>
              <w:left w:val="nil"/>
              <w:bottom w:val="single" w:sz="6" w:space="0" w:color="auto"/>
              <w:right w:val="nil"/>
            </w:tcBorders>
            <w:vAlign w:val="center"/>
            <w:hideMark/>
          </w:tcPr>
          <w:p w14:paraId="613DC84F" w14:textId="77777777" w:rsidR="0007269C" w:rsidRPr="005F1603" w:rsidRDefault="0007269C" w:rsidP="0007269C">
            <w:pPr>
              <w:ind w:firstLineChars="0" w:firstLine="0"/>
              <w:rPr>
                <w:rFonts w:eastAsiaTheme="minorEastAsia"/>
                <w:sz w:val="21"/>
                <w:szCs w:val="21"/>
              </w:rPr>
            </w:pPr>
            <w:bookmarkStart w:id="22" w:name="_Hlk233919259"/>
            <w:proofErr w:type="spellStart"/>
            <w:r w:rsidRPr="005F1603">
              <w:rPr>
                <w:rFonts w:eastAsiaTheme="minorEastAsia"/>
                <w:sz w:val="21"/>
                <w:szCs w:val="21"/>
              </w:rPr>
              <w:t>ChEMBL</w:t>
            </w:r>
            <w:proofErr w:type="spellEnd"/>
            <w:r w:rsidRPr="005F1603">
              <w:rPr>
                <w:rFonts w:eastAsiaTheme="minorEastAsia"/>
                <w:sz w:val="21"/>
                <w:szCs w:val="21"/>
              </w:rPr>
              <w:t xml:space="preserve"> subset</w:t>
            </w:r>
          </w:p>
        </w:tc>
        <w:tc>
          <w:tcPr>
            <w:tcW w:w="0" w:type="auto"/>
            <w:tcBorders>
              <w:top w:val="single" w:sz="12" w:space="0" w:color="auto"/>
              <w:left w:val="nil"/>
              <w:bottom w:val="single" w:sz="6" w:space="0" w:color="auto"/>
              <w:right w:val="nil"/>
            </w:tcBorders>
            <w:vAlign w:val="center"/>
            <w:hideMark/>
          </w:tcPr>
          <w:p w14:paraId="1A3A6C9F"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No. of molecules</w:t>
            </w:r>
          </w:p>
        </w:tc>
        <w:tc>
          <w:tcPr>
            <w:tcW w:w="0" w:type="auto"/>
            <w:tcBorders>
              <w:top w:val="single" w:sz="12" w:space="0" w:color="auto"/>
              <w:left w:val="nil"/>
              <w:bottom w:val="single" w:sz="6" w:space="0" w:color="auto"/>
              <w:right w:val="nil"/>
            </w:tcBorders>
            <w:vAlign w:val="center"/>
            <w:hideMark/>
          </w:tcPr>
          <w:p w14:paraId="4E65D525" w14:textId="4DC80FA3" w:rsidR="0007269C" w:rsidRPr="005F1603" w:rsidRDefault="0007269C" w:rsidP="0007269C">
            <w:pPr>
              <w:ind w:firstLineChars="0" w:firstLine="0"/>
              <w:rPr>
                <w:rFonts w:eastAsiaTheme="minorEastAsia"/>
                <w:sz w:val="21"/>
                <w:szCs w:val="21"/>
              </w:rPr>
            </w:pPr>
            <w:r w:rsidRPr="005F1603">
              <w:rPr>
                <w:rFonts w:eastAsiaTheme="minorEastAsia"/>
                <w:sz w:val="21"/>
                <w:szCs w:val="21"/>
              </w:rPr>
              <w:t>R</w:t>
            </w:r>
            <w:r w:rsidR="001A0E3B" w:rsidRPr="005F1603">
              <w:rPr>
                <w:rFonts w:eastAsiaTheme="minorEastAsia" w:hint="eastAsia"/>
                <w:sz w:val="21"/>
                <w:szCs w:val="21"/>
              </w:rPr>
              <w:t>ECALL</w:t>
            </w:r>
            <w:r w:rsidRPr="005F1603">
              <w:rPr>
                <w:rFonts w:eastAsiaTheme="minorEastAsia"/>
                <w:sz w:val="21"/>
                <w:szCs w:val="21"/>
              </w:rPr>
              <w:t>@10</w:t>
            </w:r>
          </w:p>
        </w:tc>
        <w:tc>
          <w:tcPr>
            <w:tcW w:w="0" w:type="auto"/>
            <w:tcBorders>
              <w:top w:val="single" w:sz="12" w:space="0" w:color="auto"/>
              <w:left w:val="nil"/>
              <w:bottom w:val="single" w:sz="6" w:space="0" w:color="auto"/>
              <w:right w:val="nil"/>
            </w:tcBorders>
            <w:vAlign w:val="center"/>
            <w:hideMark/>
          </w:tcPr>
          <w:p w14:paraId="33AECDED"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NDCG@10</w:t>
            </w:r>
          </w:p>
        </w:tc>
        <w:tc>
          <w:tcPr>
            <w:tcW w:w="0" w:type="auto"/>
            <w:tcBorders>
              <w:top w:val="single" w:sz="12" w:space="0" w:color="auto"/>
              <w:left w:val="nil"/>
              <w:bottom w:val="single" w:sz="6" w:space="0" w:color="auto"/>
              <w:right w:val="nil"/>
            </w:tcBorders>
            <w:vAlign w:val="center"/>
            <w:hideMark/>
          </w:tcPr>
          <w:p w14:paraId="541EBCA3"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MAP@10</w:t>
            </w:r>
          </w:p>
        </w:tc>
        <w:tc>
          <w:tcPr>
            <w:tcW w:w="0" w:type="auto"/>
            <w:tcBorders>
              <w:top w:val="single" w:sz="12" w:space="0" w:color="auto"/>
              <w:left w:val="nil"/>
              <w:bottom w:val="single" w:sz="6" w:space="0" w:color="auto"/>
              <w:right w:val="nil"/>
            </w:tcBorders>
            <w:vAlign w:val="center"/>
            <w:hideMark/>
          </w:tcPr>
          <w:p w14:paraId="3A379441"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MRR@10</w:t>
            </w:r>
          </w:p>
        </w:tc>
      </w:tr>
      <w:tr w:rsidR="005F1603" w:rsidRPr="005F1603" w14:paraId="46CC4C06" w14:textId="77777777">
        <w:tc>
          <w:tcPr>
            <w:tcW w:w="0" w:type="auto"/>
            <w:tcBorders>
              <w:top w:val="single" w:sz="6" w:space="0" w:color="auto"/>
              <w:left w:val="nil"/>
              <w:bottom w:val="nil"/>
              <w:right w:val="nil"/>
            </w:tcBorders>
            <w:vAlign w:val="center"/>
            <w:hideMark/>
          </w:tcPr>
          <w:p w14:paraId="74E0F71D"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 xml:space="preserve">Full </w:t>
            </w:r>
            <w:proofErr w:type="spellStart"/>
            <w:r w:rsidRPr="005F1603">
              <w:rPr>
                <w:rFonts w:eastAsiaTheme="minorEastAsia"/>
                <w:sz w:val="21"/>
                <w:szCs w:val="21"/>
              </w:rPr>
              <w:t>ChEMBL</w:t>
            </w:r>
            <w:proofErr w:type="spellEnd"/>
            <w:r w:rsidRPr="005F1603">
              <w:rPr>
                <w:rFonts w:eastAsiaTheme="minorEastAsia"/>
                <w:sz w:val="21"/>
                <w:szCs w:val="21"/>
              </w:rPr>
              <w:t xml:space="preserve"> set</w:t>
            </w:r>
          </w:p>
        </w:tc>
        <w:tc>
          <w:tcPr>
            <w:tcW w:w="0" w:type="auto"/>
            <w:tcBorders>
              <w:top w:val="single" w:sz="6" w:space="0" w:color="auto"/>
              <w:left w:val="nil"/>
              <w:bottom w:val="nil"/>
              <w:right w:val="nil"/>
            </w:tcBorders>
            <w:vAlign w:val="center"/>
            <w:hideMark/>
          </w:tcPr>
          <w:p w14:paraId="75750E1E"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474,393</w:t>
            </w:r>
          </w:p>
        </w:tc>
        <w:tc>
          <w:tcPr>
            <w:tcW w:w="0" w:type="auto"/>
            <w:tcBorders>
              <w:top w:val="single" w:sz="6" w:space="0" w:color="auto"/>
              <w:left w:val="nil"/>
              <w:bottom w:val="nil"/>
              <w:right w:val="nil"/>
            </w:tcBorders>
            <w:vAlign w:val="center"/>
            <w:hideMark/>
          </w:tcPr>
          <w:p w14:paraId="26AB8093"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0.1675</w:t>
            </w:r>
          </w:p>
        </w:tc>
        <w:tc>
          <w:tcPr>
            <w:tcW w:w="0" w:type="auto"/>
            <w:tcBorders>
              <w:top w:val="single" w:sz="6" w:space="0" w:color="auto"/>
              <w:left w:val="nil"/>
              <w:bottom w:val="nil"/>
              <w:right w:val="nil"/>
            </w:tcBorders>
            <w:vAlign w:val="center"/>
            <w:hideMark/>
          </w:tcPr>
          <w:p w14:paraId="1C703BA1"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0.1079</w:t>
            </w:r>
          </w:p>
        </w:tc>
        <w:tc>
          <w:tcPr>
            <w:tcW w:w="0" w:type="auto"/>
            <w:tcBorders>
              <w:top w:val="single" w:sz="6" w:space="0" w:color="auto"/>
              <w:left w:val="nil"/>
              <w:bottom w:val="nil"/>
              <w:right w:val="nil"/>
            </w:tcBorders>
            <w:vAlign w:val="center"/>
            <w:hideMark/>
          </w:tcPr>
          <w:p w14:paraId="18AC5A1F"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0.0827</w:t>
            </w:r>
          </w:p>
        </w:tc>
        <w:tc>
          <w:tcPr>
            <w:tcW w:w="0" w:type="auto"/>
            <w:tcBorders>
              <w:top w:val="single" w:sz="6" w:space="0" w:color="auto"/>
              <w:left w:val="nil"/>
              <w:bottom w:val="nil"/>
              <w:right w:val="nil"/>
            </w:tcBorders>
            <w:vAlign w:val="center"/>
            <w:hideMark/>
          </w:tcPr>
          <w:p w14:paraId="270A0771"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0.0995</w:t>
            </w:r>
          </w:p>
        </w:tc>
      </w:tr>
      <w:tr w:rsidR="005F1603" w:rsidRPr="005F1603" w14:paraId="63287E2E" w14:textId="77777777">
        <w:tc>
          <w:tcPr>
            <w:tcW w:w="0" w:type="auto"/>
            <w:vAlign w:val="center"/>
            <w:hideMark/>
          </w:tcPr>
          <w:p w14:paraId="268D5115"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 xml:space="preserve">Inside </w:t>
            </w:r>
            <w:proofErr w:type="spellStart"/>
            <w:r w:rsidRPr="005F1603">
              <w:rPr>
                <w:rFonts w:eastAsiaTheme="minorEastAsia"/>
                <w:sz w:val="21"/>
                <w:szCs w:val="21"/>
              </w:rPr>
              <w:t>DrugBank</w:t>
            </w:r>
            <w:proofErr w:type="spellEnd"/>
            <w:r w:rsidRPr="005F1603">
              <w:rPr>
                <w:rFonts w:eastAsiaTheme="minorEastAsia"/>
                <w:sz w:val="21"/>
                <w:szCs w:val="21"/>
              </w:rPr>
              <w:t xml:space="preserve"> 99% applicability domain</w:t>
            </w:r>
          </w:p>
        </w:tc>
        <w:tc>
          <w:tcPr>
            <w:tcW w:w="0" w:type="auto"/>
            <w:vAlign w:val="center"/>
            <w:hideMark/>
          </w:tcPr>
          <w:p w14:paraId="166C505F"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12,598</w:t>
            </w:r>
          </w:p>
        </w:tc>
        <w:tc>
          <w:tcPr>
            <w:tcW w:w="0" w:type="auto"/>
            <w:vAlign w:val="center"/>
            <w:hideMark/>
          </w:tcPr>
          <w:p w14:paraId="545419C3"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0.2735</w:t>
            </w:r>
          </w:p>
        </w:tc>
        <w:tc>
          <w:tcPr>
            <w:tcW w:w="0" w:type="auto"/>
            <w:vAlign w:val="center"/>
            <w:hideMark/>
          </w:tcPr>
          <w:p w14:paraId="396D3218"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0.1946</w:t>
            </w:r>
          </w:p>
        </w:tc>
        <w:tc>
          <w:tcPr>
            <w:tcW w:w="0" w:type="auto"/>
            <w:vAlign w:val="center"/>
            <w:hideMark/>
          </w:tcPr>
          <w:p w14:paraId="2D279DE8"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0.1621</w:t>
            </w:r>
          </w:p>
        </w:tc>
        <w:tc>
          <w:tcPr>
            <w:tcW w:w="0" w:type="auto"/>
            <w:vAlign w:val="center"/>
            <w:hideMark/>
          </w:tcPr>
          <w:p w14:paraId="63E1A94B"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0.1828</w:t>
            </w:r>
          </w:p>
        </w:tc>
      </w:tr>
      <w:tr w:rsidR="0007269C" w:rsidRPr="005F1603" w14:paraId="41440F0F" w14:textId="77777777">
        <w:tc>
          <w:tcPr>
            <w:tcW w:w="0" w:type="auto"/>
            <w:tcBorders>
              <w:top w:val="nil"/>
              <w:left w:val="nil"/>
              <w:bottom w:val="single" w:sz="12" w:space="0" w:color="auto"/>
              <w:right w:val="nil"/>
            </w:tcBorders>
            <w:vAlign w:val="center"/>
            <w:hideMark/>
          </w:tcPr>
          <w:p w14:paraId="237DA60C"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 xml:space="preserve">Outside </w:t>
            </w:r>
            <w:proofErr w:type="spellStart"/>
            <w:r w:rsidRPr="005F1603">
              <w:rPr>
                <w:rFonts w:eastAsiaTheme="minorEastAsia"/>
                <w:sz w:val="21"/>
                <w:szCs w:val="21"/>
              </w:rPr>
              <w:t>DrugBank</w:t>
            </w:r>
            <w:proofErr w:type="spellEnd"/>
            <w:r w:rsidRPr="005F1603">
              <w:rPr>
                <w:rFonts w:eastAsiaTheme="minorEastAsia"/>
                <w:sz w:val="21"/>
                <w:szCs w:val="21"/>
              </w:rPr>
              <w:t xml:space="preserve"> 99% applicability domain</w:t>
            </w:r>
          </w:p>
        </w:tc>
        <w:tc>
          <w:tcPr>
            <w:tcW w:w="0" w:type="auto"/>
            <w:tcBorders>
              <w:top w:val="nil"/>
              <w:left w:val="nil"/>
              <w:bottom w:val="single" w:sz="12" w:space="0" w:color="auto"/>
              <w:right w:val="nil"/>
            </w:tcBorders>
            <w:vAlign w:val="center"/>
            <w:hideMark/>
          </w:tcPr>
          <w:p w14:paraId="2657CD16"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461,795</w:t>
            </w:r>
          </w:p>
        </w:tc>
        <w:tc>
          <w:tcPr>
            <w:tcW w:w="0" w:type="auto"/>
            <w:tcBorders>
              <w:top w:val="nil"/>
              <w:left w:val="nil"/>
              <w:bottom w:val="single" w:sz="12" w:space="0" w:color="auto"/>
              <w:right w:val="nil"/>
            </w:tcBorders>
            <w:vAlign w:val="center"/>
            <w:hideMark/>
          </w:tcPr>
          <w:p w14:paraId="11639DB6"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0.1646</w:t>
            </w:r>
          </w:p>
        </w:tc>
        <w:tc>
          <w:tcPr>
            <w:tcW w:w="0" w:type="auto"/>
            <w:tcBorders>
              <w:top w:val="nil"/>
              <w:left w:val="nil"/>
              <w:bottom w:val="single" w:sz="12" w:space="0" w:color="auto"/>
              <w:right w:val="nil"/>
            </w:tcBorders>
            <w:vAlign w:val="center"/>
            <w:hideMark/>
          </w:tcPr>
          <w:p w14:paraId="35A604FE"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0.1056</w:t>
            </w:r>
          </w:p>
        </w:tc>
        <w:tc>
          <w:tcPr>
            <w:tcW w:w="0" w:type="auto"/>
            <w:tcBorders>
              <w:top w:val="nil"/>
              <w:left w:val="nil"/>
              <w:bottom w:val="single" w:sz="12" w:space="0" w:color="auto"/>
              <w:right w:val="nil"/>
            </w:tcBorders>
            <w:vAlign w:val="center"/>
            <w:hideMark/>
          </w:tcPr>
          <w:p w14:paraId="3D1A4EC1"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0.0806</w:t>
            </w:r>
          </w:p>
        </w:tc>
        <w:tc>
          <w:tcPr>
            <w:tcW w:w="0" w:type="auto"/>
            <w:tcBorders>
              <w:top w:val="nil"/>
              <w:left w:val="nil"/>
              <w:bottom w:val="single" w:sz="12" w:space="0" w:color="auto"/>
              <w:right w:val="nil"/>
            </w:tcBorders>
            <w:vAlign w:val="center"/>
            <w:hideMark/>
          </w:tcPr>
          <w:p w14:paraId="354C0AB8" w14:textId="77777777" w:rsidR="0007269C" w:rsidRPr="005F1603" w:rsidRDefault="0007269C" w:rsidP="0007269C">
            <w:pPr>
              <w:ind w:firstLineChars="0" w:firstLine="0"/>
              <w:rPr>
                <w:rFonts w:eastAsiaTheme="minorEastAsia"/>
                <w:sz w:val="21"/>
                <w:szCs w:val="21"/>
              </w:rPr>
            </w:pPr>
            <w:r w:rsidRPr="005F1603">
              <w:rPr>
                <w:rFonts w:eastAsiaTheme="minorEastAsia"/>
                <w:sz w:val="21"/>
                <w:szCs w:val="21"/>
              </w:rPr>
              <w:t>0.0973</w:t>
            </w:r>
          </w:p>
        </w:tc>
        <w:bookmarkEnd w:id="22"/>
      </w:tr>
    </w:tbl>
    <w:p w14:paraId="06E5CD6B" w14:textId="77777777" w:rsidR="0007269C" w:rsidRPr="005F1603" w:rsidRDefault="0007269C" w:rsidP="00EE6682">
      <w:pPr>
        <w:ind w:firstLineChars="0" w:firstLine="0"/>
        <w:rPr>
          <w:rFonts w:eastAsiaTheme="minorEastAsia"/>
          <w:noProof/>
        </w:rPr>
      </w:pPr>
    </w:p>
    <w:p w14:paraId="704D8A66" w14:textId="77777777" w:rsidR="000E229E" w:rsidRPr="005F1603" w:rsidRDefault="000E229E" w:rsidP="004157C1">
      <w:pPr>
        <w:pStyle w:val="Heading2"/>
      </w:pPr>
      <w:r w:rsidRPr="005F1603">
        <w:t xml:space="preserve">GO and KEGG enrichment analysis of predicted </w:t>
      </w:r>
      <w:proofErr w:type="spellStart"/>
      <w:r w:rsidRPr="005F1603">
        <w:t>baicalein</w:t>
      </w:r>
      <w:proofErr w:type="spellEnd"/>
      <w:r w:rsidRPr="005F1603">
        <w:t xml:space="preserve"> targets </w:t>
      </w:r>
    </w:p>
    <w:p w14:paraId="69C34F28" w14:textId="22A9F142" w:rsidR="000E229E" w:rsidRPr="005F1603" w:rsidRDefault="000E229E" w:rsidP="000E229E">
      <w:pPr>
        <w:ind w:firstLine="480"/>
        <w:rPr>
          <w:rFonts w:eastAsiaTheme="minorEastAsia"/>
          <w:noProof/>
        </w:rPr>
      </w:pPr>
      <w:proofErr w:type="spellStart"/>
      <w:r w:rsidRPr="005F1603">
        <w:rPr>
          <w:rFonts w:eastAsiaTheme="minorEastAsia"/>
        </w:rPr>
        <w:t>Baicalein</w:t>
      </w:r>
      <w:proofErr w:type="spellEnd"/>
      <w:r w:rsidRPr="005F1603">
        <w:rPr>
          <w:rFonts w:eastAsiaTheme="minorEastAsia"/>
        </w:rPr>
        <w:t xml:space="preserve"> has been reported to exert anti-cancer</w:t>
      </w:r>
      <w:r w:rsidRPr="005F1603">
        <w:rPr>
          <w:rFonts w:eastAsiaTheme="minorEastAsia"/>
        </w:rPr>
        <w:fldChar w:fldCharType="begin"/>
      </w:r>
      <w:r w:rsidR="001E6F4C" w:rsidRPr="005F1603">
        <w:rPr>
          <w:rFonts w:eastAsiaTheme="minorEastAsia"/>
        </w:rPr>
        <w:instrText xml:space="preserve"> ADDIN EN.CITE &lt;EndNote&gt;&lt;Cite&gt;&lt;Author&gt;Bie&lt;/Author&gt;&lt;Year&gt;2017&lt;/Year&gt;&lt;RecNum&gt;399&lt;/RecNum&gt;&lt;DisplayText&gt;[3, 4]&lt;/DisplayText&gt;&lt;record&gt;&lt;rec-number&gt;399&lt;/rec-number&gt;&lt;foreign-keys&gt;&lt;key app="EN" db-id="pwdd0va06xwzdmes9pfvsrw6dsv0zax2wxa0" timestamp="1751113451"&gt;399&lt;/key&gt;&lt;/foreign-keys&gt;&lt;ref-type name="Journal Article"&gt;17&lt;/ref-type&gt;&lt;contributors&gt;&lt;authors&gt;&lt;author&gt;Bie, Beibei&lt;/author&gt;&lt;author&gt;Sun, Jin&lt;/author&gt;&lt;author&gt;Guo, Ying&lt;/author&gt;&lt;author&gt;Li, Jun&lt;/author&gt;&lt;author&gt;Jiang, Wei&lt;/author&gt;&lt;author&gt;Yang, Jun&lt;/author&gt;&lt;author&gt;Huang, Chen&lt;/author&gt;&lt;author&gt;Li, Zongfang&lt;/author&gt;&lt;/authors&gt;&lt;/contributors&gt;&lt;titles&gt;&lt;title&gt;Baicalein: A review of its anti-cancer effects and mechanisms in Hepatocellular Carcinoma&lt;/title&gt;&lt;secondary-title&gt;Biomedicine &amp;amp; Pharmacotherapy&lt;/secondary-title&gt;&lt;/titles&gt;&lt;periodical&gt;&lt;full-title&gt;Biomedicine &amp;amp; Pharmacotherapy&lt;/full-title&gt;&lt;/periodical&gt;&lt;pages&gt;1285-1291&lt;/pages&gt;&lt;volume&gt;93&lt;/volume&gt;&lt;dates&gt;&lt;year&gt;2017&lt;/year&gt;&lt;/dates&gt;&lt;isbn&gt;0753-3322&lt;/isbn&gt;&lt;urls&gt;&lt;/urls&gt;&lt;/record&gt;&lt;/Cite&gt;&lt;Cite&gt;&lt;Author&gt;Chen&lt;/Author&gt;&lt;Year&gt;2014&lt;/Year&gt;&lt;RecNum&gt;400&lt;/RecNum&gt;&lt;record&gt;&lt;rec-number&gt;400&lt;/rec-number&gt;&lt;foreign-keys&gt;&lt;key app="EN" db-id="pwdd0va06xwzdmes9pfvsrw6dsv0zax2wxa0" timestamp="1751113504"&gt;400&lt;/key&gt;&lt;/foreign-keys&gt;&lt;ref-type name="Journal Article"&gt;17&lt;/ref-type&gt;&lt;contributors&gt;&lt;authors&gt;&lt;author&gt;Chen, Haijun&lt;/author&gt;&lt;author&gt;Gao, Yu&lt;/author&gt;&lt;author&gt;Wu, Jianlei&lt;/author&gt;&lt;author&gt;Chen, Yingyu&lt;/author&gt;&lt;author&gt;Chen, Buyuan&lt;/author&gt;&lt;author&gt;Hu, Jianda&lt;/author&gt;&lt;author&gt;Zhou, Jia&lt;/author&gt;&lt;/authors&gt;&lt;/contributors&gt;&lt;titles&gt;&lt;title&gt;Exploring therapeutic potentials of baicalin and its aglycone baicalein for hematological malignancies&lt;/title&gt;&lt;secondary-title&gt;Cancer letters&lt;/secondary-title&gt;&lt;/titles&gt;&lt;periodical&gt;&lt;full-title&gt;Cancer letters&lt;/full-title&gt;&lt;/periodical&gt;&lt;pages&gt;5-11&lt;/pages&gt;&lt;volume&gt;354&lt;/volume&gt;&lt;number&gt;1&lt;/number&gt;&lt;dates&gt;&lt;year&gt;2014&lt;/year&gt;&lt;/dates&gt;&lt;isbn&gt;0304-3835&lt;/isbn&gt;&lt;urls&gt;&lt;/urls&gt;&lt;/record&gt;&lt;/Cite&gt;&lt;/EndNote&gt;</w:instrText>
      </w:r>
      <w:r w:rsidRPr="005F1603">
        <w:rPr>
          <w:rFonts w:eastAsiaTheme="minorEastAsia"/>
        </w:rPr>
        <w:fldChar w:fldCharType="separate"/>
      </w:r>
      <w:r w:rsidR="001E6F4C" w:rsidRPr="005F1603">
        <w:rPr>
          <w:rFonts w:eastAsiaTheme="minorEastAsia"/>
          <w:noProof/>
        </w:rPr>
        <w:t>[3, 4]</w:t>
      </w:r>
      <w:r w:rsidRPr="005F1603">
        <w:rPr>
          <w:rFonts w:eastAsiaTheme="minorEastAsia"/>
        </w:rPr>
        <w:fldChar w:fldCharType="end"/>
      </w:r>
      <w:r w:rsidRPr="005F1603">
        <w:rPr>
          <w:rFonts w:eastAsiaTheme="minorEastAsia"/>
        </w:rPr>
        <w:t>, anti-inflammatory</w:t>
      </w:r>
      <w:r w:rsidRPr="005F1603">
        <w:rPr>
          <w:rFonts w:eastAsiaTheme="minorEastAsia"/>
        </w:rPr>
        <w:fldChar w:fldCharType="begin"/>
      </w:r>
      <w:r w:rsidR="001E6F4C" w:rsidRPr="005F1603">
        <w:rPr>
          <w:rFonts w:eastAsiaTheme="minorEastAsia"/>
        </w:rPr>
        <w:instrText xml:space="preserve"> ADDIN EN.CITE &lt;EndNote&gt;&lt;Cite&gt;&lt;Author&gt;Shen&lt;/Author&gt;&lt;Year&gt;2003&lt;/Year&gt;&lt;RecNum&gt;401&lt;/RecNum&gt;&lt;DisplayText&gt;[5]&lt;/DisplayText&gt;&lt;record&gt;&lt;rec-number&gt;401&lt;/rec-number&gt;&lt;foreign-keys&gt;&lt;key app="EN" db-id="pwdd0va06xwzdmes9pfvsrw6dsv0zax2wxa0" timestamp="1751114212"&gt;401&lt;/key&gt;&lt;/foreign-keys&gt;&lt;ref-type name="Journal Article"&gt;17&lt;/ref-type&gt;&lt;contributors&gt;&lt;authors&gt;&lt;author&gt;Shen, Yuh-Chiang&lt;/author&gt;&lt;author&gt;Chiou, Wen-Fei&lt;/author&gt;&lt;author&gt;Chou, Yueh-Ching&lt;/author&gt;&lt;author&gt;Chen, Chieh-Fu&lt;/author&gt;&lt;/authors&gt;&lt;/contributors&gt;&lt;titles&gt;&lt;title&gt;Mechanisms in mediating the anti-inflammatory effects of baicalin and baicalein in human leukocytes&lt;/title&gt;&lt;secondary-title&gt;European journal of pharmacology&lt;/secondary-title&gt;&lt;/titles&gt;&lt;periodical&gt;&lt;full-title&gt;European journal of pharmacology&lt;/full-title&gt;&lt;/periodical&gt;&lt;pages&gt;171-181&lt;/pages&gt;&lt;volume&gt;465&lt;/volume&gt;&lt;number&gt;1-2&lt;/number&gt;&lt;dates&gt;&lt;year&gt;2003&lt;/year&gt;&lt;/dates&gt;&lt;isbn&gt;0014-2999&lt;/isbn&gt;&lt;urls&gt;&lt;/urls&gt;&lt;/record&gt;&lt;/Cite&gt;&lt;/EndNote&gt;</w:instrText>
      </w:r>
      <w:r w:rsidRPr="005F1603">
        <w:rPr>
          <w:rFonts w:eastAsiaTheme="minorEastAsia"/>
        </w:rPr>
        <w:fldChar w:fldCharType="separate"/>
      </w:r>
      <w:r w:rsidR="001E6F4C" w:rsidRPr="005F1603">
        <w:rPr>
          <w:rFonts w:eastAsiaTheme="minorEastAsia"/>
          <w:noProof/>
        </w:rPr>
        <w:t>[5]</w:t>
      </w:r>
      <w:r w:rsidRPr="005F1603">
        <w:rPr>
          <w:rFonts w:eastAsiaTheme="minorEastAsia"/>
        </w:rPr>
        <w:fldChar w:fldCharType="end"/>
      </w:r>
      <w:r w:rsidRPr="005F1603">
        <w:rPr>
          <w:rFonts w:eastAsiaTheme="minorEastAsia"/>
        </w:rPr>
        <w:t>, and anti-Alzheimer’s disease activities</w:t>
      </w:r>
      <w:r w:rsidRPr="005F1603">
        <w:rPr>
          <w:rFonts w:eastAsiaTheme="minorEastAsia"/>
        </w:rPr>
        <w:fldChar w:fldCharType="begin"/>
      </w:r>
      <w:r w:rsidR="001E6F4C" w:rsidRPr="005F1603">
        <w:rPr>
          <w:rFonts w:eastAsiaTheme="minorEastAsia"/>
        </w:rPr>
        <w:instrText xml:space="preserve"> ADDIN EN.CITE &lt;EndNote&gt;&lt;Cite&gt;&lt;Author&gt;Li&lt;/Author&gt;&lt;Year&gt;2017&lt;/Year&gt;&lt;RecNum&gt;402&lt;/RecNum&gt;&lt;DisplayText&gt;[6]&lt;/DisplayText&gt;&lt;record&gt;&lt;rec-number&gt;402&lt;/rec-number&gt;&lt;foreign-keys&gt;&lt;key app="EN" db-id="pwdd0va06xwzdmes9pfvsrw6dsv0zax2wxa0" timestamp="1751114272"&gt;402&lt;/key&gt;&lt;/foreign-keys&gt;&lt;ref-type name="Journal Article"&gt;17&lt;/ref-type&gt;&lt;contributors&gt;&lt;authors&gt;&lt;author&gt;Li, Yanwei&lt;/author&gt;&lt;author&gt;Zhao, Jinying&lt;/author&gt;&lt;author&gt;Hölscher, Christian&lt;/author&gt;&lt;/authors&gt;&lt;/contributors&gt;&lt;titles&gt;&lt;title&gt;Therapeutic potential of baicalein in Alzheimer’s disease and Parkinson’s disease&lt;/title&gt;&lt;secondary-title&gt;CNS drugs&lt;/secondary-title&gt;&lt;/titles&gt;&lt;periodical&gt;&lt;full-title&gt;CNS drugs&lt;/full-title&gt;&lt;/periodical&gt;&lt;pages&gt;639-652&lt;/pages&gt;&lt;volume&gt;31&lt;/volume&gt;&lt;number&gt;8&lt;/number&gt;&lt;dates&gt;&lt;year&gt;2017&lt;/year&gt;&lt;/dates&gt;&lt;isbn&gt;1172-7047&lt;/isbn&gt;&lt;urls&gt;&lt;/urls&gt;&lt;/record&gt;&lt;/Cite&gt;&lt;/EndNote&gt;</w:instrText>
      </w:r>
      <w:r w:rsidRPr="005F1603">
        <w:rPr>
          <w:rFonts w:eastAsiaTheme="minorEastAsia"/>
        </w:rPr>
        <w:fldChar w:fldCharType="separate"/>
      </w:r>
      <w:r w:rsidR="001E6F4C" w:rsidRPr="005F1603">
        <w:rPr>
          <w:rFonts w:eastAsiaTheme="minorEastAsia"/>
          <w:noProof/>
        </w:rPr>
        <w:t>[6]</w:t>
      </w:r>
      <w:r w:rsidRPr="005F1603">
        <w:rPr>
          <w:rFonts w:eastAsiaTheme="minorEastAsia"/>
        </w:rPr>
        <w:fldChar w:fldCharType="end"/>
      </w:r>
      <w:r w:rsidRPr="005F1603">
        <w:rPr>
          <w:rFonts w:eastAsiaTheme="minorEastAsia"/>
        </w:rPr>
        <w:t>.</w:t>
      </w:r>
      <w:r w:rsidRPr="005F1603">
        <w:t xml:space="preserve"> </w:t>
      </w:r>
      <w:r w:rsidRPr="005F1603">
        <w:rPr>
          <w:rFonts w:eastAsiaTheme="minorEastAsia"/>
        </w:rPr>
        <w:t xml:space="preserve">We predicted candidate targets of </w:t>
      </w:r>
      <w:proofErr w:type="spellStart"/>
      <w:r w:rsidRPr="005F1603">
        <w:rPr>
          <w:rFonts w:eastAsiaTheme="minorEastAsia"/>
        </w:rPr>
        <w:t>baicalein</w:t>
      </w:r>
      <w:proofErr w:type="spellEnd"/>
      <w:r w:rsidRPr="005F1603">
        <w:rPr>
          <w:rFonts w:eastAsiaTheme="minorEastAsia"/>
        </w:rPr>
        <w:t xml:space="preserve"> and performed pathway enrichment analysis, which revealed pathways closely aligned with these pharmacological profiles</w:t>
      </w:r>
      <w:r w:rsidR="00857271" w:rsidRPr="005F1603">
        <w:rPr>
          <w:rFonts w:eastAsiaTheme="minorEastAsia" w:hint="eastAsia"/>
        </w:rPr>
        <w:t xml:space="preserve"> (</w:t>
      </w:r>
      <w:r w:rsidR="00857271" w:rsidRPr="005F1603">
        <w:rPr>
          <w:rFonts w:eastAsiaTheme="minorEastAsia"/>
        </w:rPr>
        <w:t>Fig</w:t>
      </w:r>
      <w:r w:rsidR="001E6F4C" w:rsidRPr="005F1603">
        <w:rPr>
          <w:rFonts w:eastAsiaTheme="minorEastAsia" w:hint="eastAsia"/>
        </w:rPr>
        <w:t>.</w:t>
      </w:r>
      <w:r w:rsidR="00857271" w:rsidRPr="005F1603">
        <w:rPr>
          <w:rFonts w:eastAsiaTheme="minorEastAsia" w:hint="eastAsia"/>
        </w:rPr>
        <w:t xml:space="preserve"> S</w:t>
      </w:r>
      <w:r w:rsidR="001E6F4C" w:rsidRPr="005F1603">
        <w:rPr>
          <w:rFonts w:eastAsiaTheme="minorEastAsia" w:hint="eastAsia"/>
        </w:rPr>
        <w:t>1</w:t>
      </w:r>
      <w:r w:rsidR="00857271" w:rsidRPr="005F1603">
        <w:rPr>
          <w:rFonts w:eastAsiaTheme="minorEastAsia" w:hint="eastAsia"/>
        </w:rPr>
        <w:t>)</w:t>
      </w:r>
      <w:r w:rsidRPr="005F1603">
        <w:rPr>
          <w:rFonts w:eastAsiaTheme="minorEastAsia"/>
        </w:rPr>
        <w:t xml:space="preserve">, including cancer-related pathways (Pathways in cancer, PD-1/PD-L1 checkpoint, viral carcinogenesis), inflammatory pathways (Th17 cell differentiation, inflammatory bowel disease, </w:t>
      </w:r>
      <w:proofErr w:type="spellStart"/>
      <w:r w:rsidRPr="005F1603">
        <w:rPr>
          <w:rFonts w:eastAsiaTheme="minorEastAsia"/>
        </w:rPr>
        <w:t>adipocytokine</w:t>
      </w:r>
      <w:proofErr w:type="spellEnd"/>
      <w:r w:rsidRPr="005F1603">
        <w:rPr>
          <w:rFonts w:eastAsiaTheme="minorEastAsia"/>
        </w:rPr>
        <w:t xml:space="preserve"> signaling), and mechanisms relevant to neurodegeneration and Alzheimer’s disease (AGE–RAGE signaling, insulin resistance, lipid and atherosclerosis, oxidative stress–related pathways). </w:t>
      </w:r>
      <w:r w:rsidRPr="005F1603">
        <w:rPr>
          <w:rFonts w:eastAsiaTheme="minorEastAsia"/>
          <w:noProof/>
        </w:rPr>
        <w:t>Previous studies have shown that blocking PD-1/PD-L1 interactions can enhance T-cell responses and mediate anti-tumor activity</w:t>
      </w:r>
      <w:r w:rsidRPr="005F1603">
        <w:rPr>
          <w:rFonts w:eastAsiaTheme="minorEastAsia"/>
          <w:noProof/>
        </w:rPr>
        <w:fldChar w:fldCharType="begin"/>
      </w:r>
      <w:r w:rsidR="001E6F4C" w:rsidRPr="005F1603">
        <w:rPr>
          <w:rFonts w:eastAsiaTheme="minorEastAsia"/>
          <w:noProof/>
        </w:rPr>
        <w:instrText xml:space="preserve"> ADDIN EN.CITE &lt;EndNote&gt;&lt;Cite&gt;&lt;Author&gt;Dermani&lt;/Author&gt;&lt;Year&gt;2019&lt;/Year&gt;&lt;RecNum&gt;503&lt;/RecNum&gt;&lt;DisplayText&gt;[7]&lt;/DisplayText&gt;&lt;record&gt;&lt;rec-number&gt;503&lt;/rec-number&gt;&lt;foreign-keys&gt;&lt;key app="EN" db-id="pwdd0va06xwzdmes9pfvsrw6dsv0zax2wxa0" timestamp="1762262220"&gt;503&lt;/key&gt;&lt;/foreign-keys&gt;&lt;ref-type name="Journal Article"&gt;17&lt;/ref-type&gt;&lt;contributors&gt;&lt;authors&gt;&lt;author&gt;Dermani, F. K.&lt;/author&gt;&lt;author&gt;Samadi, P.&lt;/author&gt;&lt;author&gt;Rahmani, G.&lt;/author&gt;&lt;author&gt;Kohlan, A. K.&lt;/author&gt;&lt;author&gt;Najafi, R.&lt;/author&gt;&lt;/authors&gt;&lt;/contributors&gt;&lt;titles&gt;&lt;title&gt;PD-1/PD-L1 immune checkpoint: Potential target for cancer therapy&lt;/title&gt;&lt;secondary-title&gt;Journal of Cellular Physiology&lt;/secondary-title&gt;&lt;/titles&gt;&lt;periodical&gt;&lt;full-title&gt;Journal of Cellular Physiology&lt;/full-title&gt;&lt;/periodical&gt;&lt;pages&gt;1313-1325&lt;/pages&gt;&lt;volume&gt;234&lt;/volume&gt;&lt;number&gt;2&lt;/number&gt;&lt;dates&gt;&lt;year&gt;2019&lt;/year&gt;&lt;pub-dates&gt;&lt;date&gt;Feb&lt;/date&gt;&lt;/pub-dates&gt;&lt;/dates&gt;&lt;isbn&gt;0021-9541&lt;/isbn&gt;&lt;accession-num&gt;WOS:000450611300029&lt;/accession-num&gt;&lt;urls&gt;&lt;related-urls&gt;&lt;url&gt;&amp;lt;Go to ISI&amp;gt;://WOS:000450611300029&lt;/url&gt;&lt;/related-urls&gt;&lt;/urls&gt;&lt;electronic-resource-num&gt;10.1002/jcp.27172&lt;/electronic-resource-num&gt;&lt;/record&gt;&lt;/Cite&gt;&lt;/EndNote&gt;</w:instrText>
      </w:r>
      <w:r w:rsidRPr="005F1603">
        <w:rPr>
          <w:rFonts w:eastAsiaTheme="minorEastAsia"/>
          <w:noProof/>
        </w:rPr>
        <w:fldChar w:fldCharType="separate"/>
      </w:r>
      <w:r w:rsidR="001E6F4C" w:rsidRPr="005F1603">
        <w:rPr>
          <w:rFonts w:eastAsiaTheme="minorEastAsia"/>
          <w:noProof/>
        </w:rPr>
        <w:t>[7]</w:t>
      </w:r>
      <w:r w:rsidRPr="005F1603">
        <w:rPr>
          <w:rFonts w:eastAsiaTheme="minorEastAsia"/>
          <w:noProof/>
        </w:rPr>
        <w:fldChar w:fldCharType="end"/>
      </w:r>
      <w:r w:rsidRPr="005F1603">
        <w:rPr>
          <w:rFonts w:eastAsiaTheme="minorEastAsia" w:hint="eastAsia"/>
          <w:noProof/>
        </w:rPr>
        <w:t>,</w:t>
      </w:r>
      <w:r w:rsidRPr="005F1603">
        <w:t xml:space="preserve"> </w:t>
      </w:r>
      <w:r w:rsidRPr="005F1603">
        <w:rPr>
          <w:rFonts w:eastAsiaTheme="minorEastAsia"/>
          <w:noProof/>
        </w:rPr>
        <w:t>that transdifferentiation of Th17 cells into regulatory cells promotes the resolution of inflammation</w:t>
      </w:r>
      <w:r w:rsidRPr="005F1603">
        <w:rPr>
          <w:rFonts w:eastAsiaTheme="minorEastAsia"/>
          <w:noProof/>
        </w:rPr>
        <w:fldChar w:fldCharType="begin"/>
      </w:r>
      <w:r w:rsidR="001E6F4C" w:rsidRPr="005F1603">
        <w:rPr>
          <w:rFonts w:eastAsiaTheme="minorEastAsia"/>
          <w:noProof/>
        </w:rPr>
        <w:instrText xml:space="preserve"> ADDIN EN.CITE &lt;EndNote&gt;&lt;Cite&gt;&lt;Author&gt;Gagliani&lt;/Author&gt;&lt;Year&gt;2015&lt;/Year&gt;&lt;RecNum&gt;504&lt;/RecNum&gt;&lt;DisplayText&gt;[8]&lt;/DisplayText&gt;&lt;record&gt;&lt;rec-number&gt;504&lt;/rec-number&gt;&lt;foreign-keys&gt;&lt;key app="EN" db-id="pwdd0va06xwzdmes9pfvsrw6dsv0zax2wxa0" timestamp="1762262526"&gt;504&lt;/key&gt;&lt;/foreign-keys&gt;&lt;ref-type name="Journal Article"&gt;17&lt;/ref-type&gt;&lt;contributors&gt;&lt;authors&gt;&lt;author&gt;Gagliani, N.&lt;/author&gt;&lt;author&gt;Vesely, M. C. A.&lt;/author&gt;&lt;author&gt;Iseppon, A.&lt;/author&gt;&lt;author&gt;Brockmann, L.&lt;/author&gt;&lt;author&gt;Xu, H.&lt;/author&gt;&lt;author&gt;Palm, N. W.&lt;/author&gt;&lt;author&gt;de Zoete, M. R.&lt;/author&gt;&lt;author&gt;Licona-Limón, P.&lt;/author&gt;&lt;author&gt;Paiva, R. S.&lt;/author&gt;&lt;author&gt;Ching, T.&lt;/author&gt;&lt;author&gt;Weaver, C.&lt;/author&gt;&lt;author&gt;Zi, X. Y.&lt;/author&gt;&lt;author&gt;Pan, X. H.&lt;/author&gt;&lt;author&gt;Fan, R.&lt;/author&gt;&lt;author&gt;Garmire, L. X.&lt;/author&gt;&lt;author&gt;Cotton, M. J.&lt;/author&gt;&lt;author&gt;Drier, Y.&lt;/author&gt;&lt;author&gt;Bernstein, B.&lt;/author&gt;&lt;author&gt;Geginat, J.&lt;/author&gt;&lt;author&gt;Stockinger, B.&lt;/author&gt;&lt;author&gt;Esplugues, E.&lt;/author&gt;&lt;author&gt;Huber, S.&lt;/author&gt;&lt;author&gt;Flavell, R. A.&lt;/author&gt;&lt;/authors&gt;&lt;/contributors&gt;&lt;titles&gt;&lt;title&gt;TH17 cells transdifferentiate into regulatory T cells during resolution of inflammation&lt;/title&gt;&lt;secondary-title&gt;Nature&lt;/secondary-title&gt;&lt;/titles&gt;&lt;periodical&gt;&lt;full-title&gt;nature&lt;/full-title&gt;&lt;/periodical&gt;&lt;pages&gt;221-U225&lt;/pages&gt;&lt;volume&gt;523&lt;/volume&gt;&lt;number&gt;7559&lt;/number&gt;&lt;dates&gt;&lt;year&gt;2015&lt;/year&gt;&lt;pub-dates&gt;&lt;date&gt;Jul 9&lt;/date&gt;&lt;/pub-dates&gt;&lt;/dates&gt;&lt;isbn&gt;0028-0836&lt;/isbn&gt;&lt;accession-num&gt;WOS:000357695900037&lt;/accession-num&gt;&lt;urls&gt;&lt;related-urls&gt;&lt;url&gt;&amp;lt;Go to ISI&amp;gt;://WOS:000357695900037&lt;/url&gt;&lt;/related-urls&gt;&lt;/urls&gt;&lt;electronic-resource-num&gt;10.1038/nature14452&lt;/electronic-resource-num&gt;&lt;/record&gt;&lt;/Cite&gt;&lt;/EndNote&gt;</w:instrText>
      </w:r>
      <w:r w:rsidRPr="005F1603">
        <w:rPr>
          <w:rFonts w:eastAsiaTheme="minorEastAsia"/>
          <w:noProof/>
        </w:rPr>
        <w:fldChar w:fldCharType="separate"/>
      </w:r>
      <w:r w:rsidR="001E6F4C" w:rsidRPr="005F1603">
        <w:rPr>
          <w:rFonts w:eastAsiaTheme="minorEastAsia"/>
          <w:noProof/>
        </w:rPr>
        <w:t>[8]</w:t>
      </w:r>
      <w:r w:rsidRPr="005F1603">
        <w:rPr>
          <w:rFonts w:eastAsiaTheme="minorEastAsia"/>
          <w:noProof/>
        </w:rPr>
        <w:fldChar w:fldCharType="end"/>
      </w:r>
      <w:r w:rsidRPr="005F1603">
        <w:rPr>
          <w:rFonts w:eastAsiaTheme="minorEastAsia" w:hint="eastAsia"/>
          <w:noProof/>
        </w:rPr>
        <w:t xml:space="preserve">, </w:t>
      </w:r>
      <w:r w:rsidRPr="005F1603">
        <w:rPr>
          <w:rFonts w:eastAsiaTheme="minorEastAsia"/>
          <w:noProof/>
        </w:rPr>
        <w:t>and that the AGE–RAGE axis acts as a driver of neurodegeneration, where inhibiting AGE–RAGE interactions can slow the progression of neurological disease</w:t>
      </w:r>
      <w:r w:rsidRPr="005F1603">
        <w:rPr>
          <w:rFonts w:eastAsiaTheme="minorEastAsia"/>
          <w:noProof/>
        </w:rPr>
        <w:fldChar w:fldCharType="begin">
          <w:fldData xml:space="preserve">PEVuZE5vdGU+PENpdGU+PEF1dGhvcj5SZWRkeTwvQXV0aG9yPjxZZWFyPjIwMjM8L1llYXI+PFJl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</w:fldData>
        </w:fldChar>
      </w:r>
      <w:r w:rsidR="001E6F4C" w:rsidRPr="005F1603">
        <w:rPr>
          <w:rFonts w:eastAsiaTheme="minorEastAsia"/>
          <w:noProof/>
        </w:rPr>
        <w:instrText xml:space="preserve"> ADDIN EN.CITE </w:instrText>
      </w:r>
      <w:r w:rsidR="001E6F4C" w:rsidRPr="005F1603">
        <w:rPr>
          <w:rFonts w:eastAsiaTheme="minorEastAsia"/>
          <w:noProof/>
        </w:rPr>
        <w:fldChar w:fldCharType="begin">
          <w:fldData xml:space="preserve">PEVuZE5vdGU+PENpdGU+PEF1dGhvcj5SZWRkeTwvQXV0aG9yPjxZZWFyPjIwMjM8L1llYXI+PFJl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</w:fldData>
        </w:fldChar>
      </w:r>
      <w:r w:rsidR="001E6F4C" w:rsidRPr="005F1603">
        <w:rPr>
          <w:rFonts w:eastAsiaTheme="minorEastAsia"/>
          <w:noProof/>
        </w:rPr>
        <w:instrText xml:space="preserve"> ADDIN EN.CITE.DATA </w:instrText>
      </w:r>
      <w:r w:rsidR="001E6F4C" w:rsidRPr="005F1603">
        <w:rPr>
          <w:rFonts w:eastAsiaTheme="minorEastAsia"/>
          <w:noProof/>
        </w:rPr>
      </w:r>
      <w:r w:rsidR="001E6F4C" w:rsidRPr="005F1603">
        <w:rPr>
          <w:rFonts w:eastAsiaTheme="minorEastAsia"/>
          <w:noProof/>
        </w:rPr>
        <w:fldChar w:fldCharType="end"/>
      </w:r>
      <w:r w:rsidRPr="005F1603">
        <w:rPr>
          <w:rFonts w:eastAsiaTheme="minorEastAsia"/>
          <w:noProof/>
        </w:rPr>
      </w:r>
      <w:r w:rsidRPr="005F1603">
        <w:rPr>
          <w:rFonts w:eastAsiaTheme="minorEastAsia"/>
          <w:noProof/>
        </w:rPr>
        <w:fldChar w:fldCharType="separate"/>
      </w:r>
      <w:r w:rsidR="001E6F4C" w:rsidRPr="005F1603">
        <w:rPr>
          <w:rFonts w:eastAsiaTheme="minorEastAsia"/>
          <w:noProof/>
        </w:rPr>
        <w:t>[9, 10]</w:t>
      </w:r>
      <w:r w:rsidRPr="005F1603">
        <w:rPr>
          <w:rFonts w:eastAsiaTheme="minorEastAsia"/>
          <w:noProof/>
        </w:rPr>
        <w:fldChar w:fldCharType="end"/>
      </w:r>
      <w:r w:rsidRPr="005F1603">
        <w:rPr>
          <w:rFonts w:eastAsiaTheme="minorEastAsia"/>
          <w:noProof/>
        </w:rPr>
        <w:t>. The concordance between our enrichment results and these established mechanisms supports the reliability of the target prediction for baicalein.</w:t>
      </w:r>
    </w:p>
    <w:p w14:paraId="04C0A526" w14:textId="77777777" w:rsidR="000E229E" w:rsidRPr="005F1603" w:rsidRDefault="000E229E" w:rsidP="004157C1">
      <w:pPr>
        <w:ind w:firstLine="480"/>
        <w:jc w:val="center"/>
        <w:rPr>
          <w:rFonts w:eastAsiaTheme="minorEastAsia"/>
          <w:noProof/>
        </w:rPr>
      </w:pPr>
      <w:r w:rsidRPr="005F1603">
        <w:rPr>
          <w:rFonts w:eastAsiaTheme="minorEastAsia"/>
          <w:noProof/>
          <w:lang w:val="en-IN" w:eastAsia="en-IN"/>
        </w:rPr>
        <w:drawing>
          <wp:inline distT="0" distB="0" distL="0" distR="0" wp14:anchorId="3D6667DA" wp14:editId="1CAAF249">
            <wp:extent cx="3438525" cy="4967605"/>
            <wp:effectExtent l="0" t="0" r="9525" b="4445"/>
            <wp:docPr id="84806120"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图表&#10;&#10;AI 生成的内容可能不正确。"/>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8525" cy="4967605"/>
                    </a:xfrm>
                    <a:prstGeom prst="rect">
                      <a:avLst/>
                    </a:prstGeom>
                    <a:noFill/>
                    <a:ln>
                      <a:noFill/>
                    </a:ln>
                  </pic:spPr>
                </pic:pic>
              </a:graphicData>
            </a:graphic>
          </wp:inline>
        </w:drawing>
      </w:r>
    </w:p>
    <w:p w14:paraId="4450F180" w14:textId="0E423FBB" w:rsidR="000E229E" w:rsidRPr="005F1603" w:rsidRDefault="000E229E" w:rsidP="00C17B7A">
      <w:pPr>
        <w:ind w:firstLineChars="0" w:firstLine="0"/>
        <w:jc w:val="center"/>
        <w:rPr>
          <w:rFonts w:eastAsiaTheme="minorEastAsia"/>
          <w:noProof/>
          <w:sz w:val="21"/>
          <w:szCs w:val="21"/>
        </w:rPr>
      </w:pPr>
      <w:r w:rsidRPr="005F1603">
        <w:rPr>
          <w:rFonts w:eastAsiaTheme="minorEastAsia"/>
          <w:noProof/>
          <w:sz w:val="21"/>
          <w:szCs w:val="21"/>
        </w:rPr>
        <w:t>Fig. S</w:t>
      </w:r>
      <w:r w:rsidR="001E6F4C" w:rsidRPr="005F1603">
        <w:rPr>
          <w:rFonts w:eastAsiaTheme="minorEastAsia" w:hint="eastAsia"/>
          <w:noProof/>
          <w:sz w:val="21"/>
          <w:szCs w:val="21"/>
        </w:rPr>
        <w:t>1</w:t>
      </w:r>
      <w:r w:rsidRPr="005F1603">
        <w:rPr>
          <w:rFonts w:eastAsiaTheme="minorEastAsia"/>
          <w:noProof/>
          <w:sz w:val="21"/>
          <w:szCs w:val="21"/>
        </w:rPr>
        <w:t xml:space="preserve"> </w:t>
      </w:r>
      <w:bookmarkStart w:id="23" w:name="OLE_LINK4"/>
      <w:r w:rsidRPr="005F1603">
        <w:rPr>
          <w:rFonts w:eastAsiaTheme="minorEastAsia"/>
          <w:noProof/>
          <w:sz w:val="21"/>
          <w:szCs w:val="21"/>
        </w:rPr>
        <w:t>GO and KEGG enrichment analysis of predicted baicalein targets</w:t>
      </w:r>
      <w:bookmarkEnd w:id="23"/>
      <w:r w:rsidRPr="005F1603">
        <w:rPr>
          <w:rFonts w:eastAsiaTheme="minorEastAsia"/>
          <w:noProof/>
          <w:sz w:val="21"/>
          <w:szCs w:val="21"/>
        </w:rPr>
        <w:t>. (A) Top 20 KEGG pathways. (B) Top 10 GO terms (with only 6 terms enriched in the cellular component category).</w:t>
      </w:r>
    </w:p>
    <w:p w14:paraId="330B4BFD" w14:textId="443DC62F" w:rsidR="00EE6682" w:rsidRPr="005F1603" w:rsidRDefault="00EE6682" w:rsidP="004157C1">
      <w:pPr>
        <w:pStyle w:val="Heading2"/>
      </w:pPr>
      <w:bookmarkStart w:id="24" w:name="OLE_LINK99"/>
      <w:r w:rsidRPr="005F1603">
        <w:t xml:space="preserve">Most </w:t>
      </w:r>
      <w:r w:rsidR="0007269C" w:rsidRPr="005F1603">
        <w:t xml:space="preserve">Chinese </w:t>
      </w:r>
      <w:proofErr w:type="spellStart"/>
      <w:r w:rsidR="0007269C" w:rsidRPr="005F1603">
        <w:t>Materia</w:t>
      </w:r>
      <w:proofErr w:type="spellEnd"/>
      <w:r w:rsidR="0007269C" w:rsidRPr="005F1603">
        <w:t xml:space="preserve"> </w:t>
      </w:r>
      <w:proofErr w:type="spellStart"/>
      <w:r w:rsidR="0007269C" w:rsidRPr="005F1603">
        <w:t>Medica</w:t>
      </w:r>
      <w:proofErr w:type="spellEnd"/>
      <w:r w:rsidRPr="005F1603">
        <w:t xml:space="preserve"> compounds fall within the </w:t>
      </w:r>
      <w:proofErr w:type="spellStart"/>
      <w:r w:rsidRPr="005F1603">
        <w:t>DrugBank</w:t>
      </w:r>
      <w:proofErr w:type="spellEnd"/>
      <w:r w:rsidRPr="005F1603">
        <w:t>-defined chemical applicability domain</w:t>
      </w:r>
    </w:p>
    <w:bookmarkEnd w:id="24"/>
    <w:p w14:paraId="536EF75C" w14:textId="04039EAC" w:rsidR="00EE6682" w:rsidRPr="005F1603" w:rsidRDefault="004157C1" w:rsidP="004157C1">
      <w:pPr>
        <w:ind w:firstLine="480"/>
        <w:rPr>
          <w:rFonts w:eastAsiaTheme="minorEastAsia"/>
          <w:noProof/>
        </w:rPr>
      </w:pPr>
      <w:r w:rsidRPr="005F1603">
        <w:rPr>
          <w:rFonts w:eastAsiaTheme="minorEastAsia"/>
          <w:noProof/>
        </w:rPr>
        <w:t xml:space="preserve">After projecting Chinese Materia Medica compounds into the same DrugBank-centered PCA50 input space, 30,546 compounds with parsable SMILES and complete model input vectors were retained, whereas compounds whose SMILES could not be parsed by RDKit were excluded. </w:t>
      </w:r>
      <w:r w:rsidR="00EE6682" w:rsidRPr="005F1603">
        <w:rPr>
          <w:rFonts w:eastAsiaTheme="minorEastAsia"/>
          <w:noProof/>
        </w:rPr>
        <w:t xml:space="preserve">Based on the DrugBank 99% nearest-neighbor distance threshold, 28,002 </w:t>
      </w:r>
      <w:r w:rsidR="006611A0" w:rsidRPr="005F1603">
        <w:rPr>
          <w:rFonts w:eastAsiaTheme="minorEastAsia"/>
          <w:noProof/>
        </w:rPr>
        <w:t xml:space="preserve">Chinese Materia </w:t>
      </w:r>
      <w:r w:rsidR="00323846" w:rsidRPr="005F1603">
        <w:rPr>
          <w:rFonts w:eastAsiaTheme="minorEastAsia"/>
          <w:noProof/>
        </w:rPr>
        <w:t>Medica</w:t>
      </w:r>
      <w:r w:rsidR="00EE6682" w:rsidRPr="005F1603">
        <w:rPr>
          <w:rFonts w:eastAsiaTheme="minorEastAsia"/>
          <w:noProof/>
        </w:rPr>
        <w:t xml:space="preserve"> compounds were located within the DrugBank 99% chemical applicability domain, accounting for 91.67% of valid </w:t>
      </w:r>
      <w:r w:rsidR="006611A0" w:rsidRPr="005F1603">
        <w:rPr>
          <w:rFonts w:eastAsiaTheme="minorEastAsia"/>
          <w:noProof/>
        </w:rPr>
        <w:t xml:space="preserve">Chinese Materia </w:t>
      </w:r>
      <w:r w:rsidR="00323846" w:rsidRPr="005F1603">
        <w:rPr>
          <w:rFonts w:eastAsiaTheme="minorEastAsia"/>
          <w:noProof/>
        </w:rPr>
        <w:t>Medica</w:t>
      </w:r>
      <w:r w:rsidR="00EE6682" w:rsidRPr="005F1603">
        <w:rPr>
          <w:rFonts w:eastAsiaTheme="minorEastAsia"/>
          <w:noProof/>
        </w:rPr>
        <w:t xml:space="preserve"> compounds. Only 2,544 compounds were located outside this applicability domain.</w:t>
      </w:r>
    </w:p>
    <w:p w14:paraId="63146514" w14:textId="1BB2FBCF" w:rsidR="00EE6682" w:rsidRPr="005F1603" w:rsidRDefault="00EE6682" w:rsidP="00EE6682">
      <w:pPr>
        <w:ind w:firstLineChars="0" w:firstLine="0"/>
        <w:rPr>
          <w:rFonts w:eastAsiaTheme="minorEastAsia"/>
          <w:noProof/>
        </w:rPr>
      </w:pPr>
      <w:r w:rsidRPr="005F1603">
        <w:rPr>
          <w:rFonts w:eastAsiaTheme="minorEastAsia"/>
          <w:noProof/>
        </w:rPr>
        <w:t xml:space="preserve">These results indicate that the downstream target prediction for </w:t>
      </w:r>
      <w:r w:rsidR="006611A0" w:rsidRPr="005F1603">
        <w:rPr>
          <w:rFonts w:eastAsiaTheme="minorEastAsia"/>
          <w:noProof/>
        </w:rPr>
        <w:t xml:space="preserve">Chinese Materia </w:t>
      </w:r>
      <w:r w:rsidR="00323846" w:rsidRPr="005F1603">
        <w:rPr>
          <w:rFonts w:eastAsiaTheme="minorEastAsia"/>
          <w:noProof/>
        </w:rPr>
        <w:t>Medica</w:t>
      </w:r>
      <w:r w:rsidRPr="005F1603">
        <w:rPr>
          <w:rFonts w:eastAsiaTheme="minorEastAsia"/>
          <w:noProof/>
        </w:rPr>
        <w:t xml:space="preserve"> compounds in this study was mainly performed within the chemical space covered by DrugBank training compounds. Therefore, the application of SYSTCM-TNet in this study should be interpreted as target prioritization for new Chinese Materia Medica compounds located within or near the DrugBank chemical applicability domain in a known candidate target space, rather than unrestricted prediction for arbitrary external molecules, completely novel targets, or samples outside the training distribution. Predictions for compounds located outside the applicability domain should be interpreted more cautiously and require further support from literature evidence, experimental validation, or additional models.</w:t>
      </w:r>
    </w:p>
    <w:p w14:paraId="76600ED6" w14:textId="77777777" w:rsidR="0030359C" w:rsidRPr="005F1603" w:rsidRDefault="0030359C" w:rsidP="00EE6682">
      <w:pPr>
        <w:ind w:firstLineChars="0" w:firstLine="0"/>
        <w:rPr>
          <w:rFonts w:eastAsiaTheme="minorEastAsia"/>
          <w:noProof/>
        </w:rPr>
      </w:pPr>
    </w:p>
    <w:p w14:paraId="626C3C1D" w14:textId="51B2A09B" w:rsidR="0030359C" w:rsidRPr="005F1603" w:rsidRDefault="0030359C" w:rsidP="004157C1">
      <w:pPr>
        <w:pStyle w:val="Heading2"/>
      </w:pPr>
      <w:bookmarkStart w:id="25" w:name="OLE_LINK169"/>
      <w:r w:rsidRPr="005F1603">
        <w:rPr>
          <w:rFonts w:hint="eastAsia"/>
        </w:rPr>
        <w:t>S</w:t>
      </w:r>
      <w:r w:rsidRPr="005F1603">
        <w:t xml:space="preserve">tandardization and </w:t>
      </w:r>
      <w:r w:rsidRPr="005F1603">
        <w:rPr>
          <w:rFonts w:hint="eastAsia"/>
        </w:rPr>
        <w:t>m</w:t>
      </w:r>
      <w:r w:rsidRPr="005F1603">
        <w:t xml:space="preserve">apping of Chinese </w:t>
      </w:r>
      <w:proofErr w:type="spellStart"/>
      <w:r w:rsidRPr="005F1603">
        <w:t>Materia</w:t>
      </w:r>
      <w:proofErr w:type="spellEnd"/>
      <w:r w:rsidRPr="005F1603">
        <w:t xml:space="preserve"> </w:t>
      </w:r>
      <w:proofErr w:type="spellStart"/>
      <w:r w:rsidRPr="005F1603">
        <w:t>Medica</w:t>
      </w:r>
      <w:proofErr w:type="spellEnd"/>
      <w:r w:rsidRPr="005F1603">
        <w:t xml:space="preserve"> </w:t>
      </w:r>
      <w:r w:rsidRPr="005F1603">
        <w:rPr>
          <w:rFonts w:hint="eastAsia"/>
        </w:rPr>
        <w:t>e</w:t>
      </w:r>
      <w:r w:rsidRPr="005F1603">
        <w:t xml:space="preserve">fficacy </w:t>
      </w:r>
      <w:r w:rsidRPr="005F1603">
        <w:rPr>
          <w:rFonts w:hint="eastAsia"/>
        </w:rPr>
        <w:t>t</w:t>
      </w:r>
      <w:r w:rsidRPr="005F1603">
        <w:t>erms</w:t>
      </w:r>
    </w:p>
    <w:p w14:paraId="1BE8769E" w14:textId="25F15AED" w:rsidR="0030359C" w:rsidRPr="005F1603" w:rsidRDefault="0030359C" w:rsidP="004157C1">
      <w:pPr>
        <w:ind w:firstLine="480"/>
        <w:rPr>
          <w:rFonts w:eastAsiaTheme="minorEastAsia"/>
          <w:noProof/>
        </w:rPr>
      </w:pPr>
      <w:r w:rsidRPr="005F1603">
        <w:rPr>
          <w:rFonts w:eastAsiaTheme="minorEastAsia"/>
          <w:noProof/>
        </w:rPr>
        <w:t xml:space="preserve">Raw efficacy and property annotations were collected from the Chinese Pharmacopoeia, and external-use-only efficacies were excluded. The remaining efficacy descriptions were decomposed according to their verb–object semantic structure and manually checked to obtain original efficacy terms. These terms were then standardized with reference to </w:t>
      </w:r>
      <w:r w:rsidRPr="005F1603">
        <w:rPr>
          <w:rFonts w:eastAsiaTheme="minorEastAsia"/>
          <w:i/>
          <w:iCs/>
          <w:noProof/>
        </w:rPr>
        <w:t>Efficacy of Chinese Materia Medica</w:t>
      </w:r>
      <w:r w:rsidRPr="005F1603">
        <w:rPr>
          <w:rFonts w:eastAsiaTheme="minorEastAsia"/>
          <w:noProof/>
        </w:rPr>
        <w:t xml:space="preserve"> and commonly accepted classification principles in Chinese materia medica and Chinese pharmacology. To reduce label sparsity and class imbalance, the original efficacy terms were further merged into 18 major efficacy categories. A conservative inclusion principle was applied during mapping: only clearly defined and widely accepted efficacy assignments were retained, whereas ambiguous, controversial, or highly overlapping terms were excluded from the corresponding modeling labels. </w:t>
      </w:r>
      <w:bookmarkStart w:id="26" w:name="OLE_LINK136"/>
      <w:r w:rsidRPr="005F1603">
        <w:rPr>
          <w:rFonts w:eastAsiaTheme="minorEastAsia"/>
          <w:noProof/>
        </w:rPr>
        <w:t>The final mapping table was reviewed by CM</w:t>
      </w:r>
      <w:r w:rsidR="00D505E8" w:rsidRPr="005F1603">
        <w:rPr>
          <w:rFonts w:eastAsiaTheme="minorEastAsia" w:hint="eastAsia"/>
          <w:noProof/>
        </w:rPr>
        <w:t>M</w:t>
      </w:r>
      <w:r w:rsidRPr="005F1603">
        <w:rPr>
          <w:rFonts w:eastAsiaTheme="minorEastAsia"/>
          <w:noProof/>
        </w:rPr>
        <w:t>-domain experts and is provided in Supplementary Table S</w:t>
      </w:r>
      <w:r w:rsidR="001C7B6B" w:rsidRPr="005F1603">
        <w:rPr>
          <w:rFonts w:eastAsiaTheme="minorEastAsia" w:hint="eastAsia"/>
          <w:noProof/>
        </w:rPr>
        <w:t>4</w:t>
      </w:r>
      <w:r w:rsidRPr="005F1603">
        <w:rPr>
          <w:rFonts w:eastAsiaTheme="minorEastAsia"/>
          <w:noProof/>
        </w:rPr>
        <w:t>.</w:t>
      </w:r>
      <w:bookmarkEnd w:id="26"/>
    </w:p>
    <w:p w14:paraId="031D8A33" w14:textId="77777777" w:rsidR="004157C1" w:rsidRPr="005F1603" w:rsidRDefault="004157C1" w:rsidP="004157C1">
      <w:pPr>
        <w:ind w:firstLine="480"/>
        <w:rPr>
          <w:rFonts w:eastAsiaTheme="minorEastAsia"/>
          <w:noProof/>
        </w:rPr>
      </w:pPr>
    </w:p>
    <w:p w14:paraId="2B0DE78E" w14:textId="77777777" w:rsidR="004157C1" w:rsidRPr="005F1603" w:rsidRDefault="004157C1" w:rsidP="004157C1">
      <w:pPr>
        <w:ind w:firstLine="480"/>
        <w:rPr>
          <w:rFonts w:eastAsiaTheme="minorEastAsia"/>
          <w:noProof/>
        </w:rPr>
      </w:pPr>
    </w:p>
    <w:p w14:paraId="2D5B9F88" w14:textId="77777777" w:rsidR="00DA17FF" w:rsidRPr="005F1603" w:rsidRDefault="00DA17FF" w:rsidP="00DA17FF">
      <w:pPr>
        <w:ind w:firstLineChars="0" w:firstLine="0"/>
        <w:jc w:val="center"/>
        <w:rPr>
          <w:rFonts w:eastAsia="DengXian" w:cs="Times New Roman"/>
          <w:sz w:val="21"/>
          <w:szCs w:val="21"/>
        </w:rPr>
      </w:pPr>
      <w:bookmarkStart w:id="27" w:name="OLE_LINK166"/>
      <w:bookmarkStart w:id="28" w:name="OLE_LINK22"/>
      <w:r w:rsidRPr="005F1603">
        <w:rPr>
          <w:rFonts w:eastAsia="DengXian" w:cs="Times New Roman"/>
          <w:sz w:val="21"/>
          <w:szCs w:val="21"/>
        </w:rPr>
        <w:t xml:space="preserve">Table </w:t>
      </w:r>
      <w:bookmarkStart w:id="29" w:name="OLE_LINK167"/>
      <w:r w:rsidRPr="005F1603">
        <w:rPr>
          <w:rFonts w:eastAsia="DengXian" w:cs="Times New Roman"/>
          <w:sz w:val="21"/>
          <w:szCs w:val="21"/>
        </w:rPr>
        <w:t>S4 Mapping table for efficacy standardization</w:t>
      </w:r>
      <w:bookmarkEnd w:id="29"/>
    </w:p>
    <w:tbl>
      <w:tblPr>
        <w:tblStyle w:val="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600"/>
      </w:tblGrid>
      <w:tr w:rsidR="005F1603" w:rsidRPr="005F1603" w14:paraId="77A9F534" w14:textId="77777777" w:rsidTr="00EE1852">
        <w:trPr>
          <w:trHeight w:val="278"/>
          <w:jc w:val="center"/>
        </w:trPr>
        <w:tc>
          <w:tcPr>
            <w:tcW w:w="1696" w:type="dxa"/>
            <w:tcBorders>
              <w:top w:val="single" w:sz="12" w:space="0" w:color="auto"/>
              <w:left w:val="nil"/>
              <w:bottom w:val="single" w:sz="6" w:space="0" w:color="auto"/>
              <w:right w:val="nil"/>
            </w:tcBorders>
            <w:noWrap/>
            <w:vAlign w:val="center"/>
          </w:tcPr>
          <w:p w14:paraId="2F03EF43" w14:textId="77777777" w:rsidR="00DA17FF" w:rsidRPr="005F1603" w:rsidRDefault="00DA17FF" w:rsidP="00DA17FF">
            <w:pPr>
              <w:ind w:firstLineChars="0" w:firstLine="0"/>
              <w:jc w:val="center"/>
              <w:rPr>
                <w:rFonts w:eastAsia="SimSun"/>
                <w:sz w:val="21"/>
                <w:szCs w:val="21"/>
              </w:rPr>
            </w:pPr>
            <w:bookmarkStart w:id="30" w:name="_Hlk234005366"/>
            <w:bookmarkEnd w:id="27"/>
            <w:r w:rsidRPr="005F1603">
              <w:rPr>
                <w:rFonts w:eastAsia="SimSun"/>
                <w:sz w:val="21"/>
                <w:szCs w:val="21"/>
              </w:rPr>
              <w:t>Standardized efficacy category</w:t>
            </w:r>
          </w:p>
        </w:tc>
        <w:tc>
          <w:tcPr>
            <w:tcW w:w="6600" w:type="dxa"/>
            <w:tcBorders>
              <w:top w:val="single" w:sz="12" w:space="0" w:color="auto"/>
              <w:left w:val="nil"/>
              <w:bottom w:val="single" w:sz="6" w:space="0" w:color="auto"/>
              <w:right w:val="nil"/>
            </w:tcBorders>
            <w:noWrap/>
            <w:vAlign w:val="center"/>
          </w:tcPr>
          <w:p w14:paraId="44FEA26C"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Original efficacy term</w:t>
            </w:r>
          </w:p>
        </w:tc>
      </w:tr>
      <w:bookmarkEnd w:id="30"/>
      <w:tr w:rsidR="005F1603" w:rsidRPr="005F1603" w14:paraId="10B2540B" w14:textId="77777777" w:rsidTr="00EE1852">
        <w:trPr>
          <w:trHeight w:val="278"/>
          <w:jc w:val="center"/>
        </w:trPr>
        <w:tc>
          <w:tcPr>
            <w:tcW w:w="1696" w:type="dxa"/>
            <w:tcBorders>
              <w:top w:val="single" w:sz="6" w:space="0" w:color="auto"/>
              <w:left w:val="nil"/>
              <w:bottom w:val="nil"/>
              <w:right w:val="nil"/>
            </w:tcBorders>
            <w:noWrap/>
            <w:vAlign w:val="center"/>
          </w:tcPr>
          <w:p w14:paraId="4E30C247"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tranquilization</w:t>
            </w:r>
          </w:p>
        </w:tc>
        <w:tc>
          <w:tcPr>
            <w:tcW w:w="6600" w:type="dxa"/>
            <w:tcBorders>
              <w:top w:val="single" w:sz="6" w:space="0" w:color="auto"/>
              <w:left w:val="nil"/>
              <w:bottom w:val="nil"/>
              <w:right w:val="nil"/>
            </w:tcBorders>
            <w:noWrap/>
            <w:vAlign w:val="center"/>
          </w:tcPr>
          <w:p w14:paraId="3F99F755"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镇心安神，养心安神，宁心安神，安神益智，养心，宁心，养血安神，补肾安神</w:t>
            </w:r>
          </w:p>
        </w:tc>
      </w:tr>
      <w:tr w:rsidR="005F1603" w:rsidRPr="005F1603" w14:paraId="5A664A7A" w14:textId="77777777" w:rsidTr="00EE1852">
        <w:trPr>
          <w:trHeight w:val="278"/>
          <w:jc w:val="center"/>
        </w:trPr>
        <w:tc>
          <w:tcPr>
            <w:tcW w:w="1696" w:type="dxa"/>
            <w:noWrap/>
            <w:vAlign w:val="center"/>
          </w:tcPr>
          <w:p w14:paraId="244EED82"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restoring vital energy</w:t>
            </w:r>
          </w:p>
        </w:tc>
        <w:tc>
          <w:tcPr>
            <w:tcW w:w="6600" w:type="dxa"/>
            <w:noWrap/>
            <w:vAlign w:val="center"/>
          </w:tcPr>
          <w:p w14:paraId="02FA60F5"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补血，养血，补血养血，养血补心，益肝</w:t>
            </w:r>
            <w:r w:rsidRPr="005F1603">
              <w:rPr>
                <w:rFonts w:eastAsia="SimSun"/>
                <w:sz w:val="21"/>
                <w:szCs w:val="21"/>
              </w:rPr>
              <w:t>,</w:t>
            </w:r>
            <w:r w:rsidRPr="005F1603">
              <w:rPr>
                <w:rFonts w:eastAsia="SimSun"/>
                <w:sz w:val="21"/>
                <w:szCs w:val="21"/>
              </w:rPr>
              <w:t>补阳，补火助阳，补肾阳，助阳，助阳化气，壮阳</w:t>
            </w:r>
            <w:r w:rsidRPr="005F1603">
              <w:rPr>
                <w:rFonts w:eastAsia="SimSun"/>
                <w:sz w:val="21"/>
                <w:szCs w:val="21"/>
              </w:rPr>
              <w:t>,</w:t>
            </w:r>
            <w:r w:rsidRPr="005F1603">
              <w:rPr>
                <w:rFonts w:eastAsia="SimSun"/>
                <w:sz w:val="21"/>
                <w:szCs w:val="21"/>
              </w:rPr>
              <w:t>补阴，养阴，益阴，滋阴</w:t>
            </w:r>
            <w:r w:rsidRPr="005F1603">
              <w:rPr>
                <w:rFonts w:eastAsia="SimSun"/>
                <w:sz w:val="21"/>
                <w:szCs w:val="21"/>
              </w:rPr>
              <w:t>,</w:t>
            </w:r>
            <w:r w:rsidRPr="005F1603">
              <w:rPr>
                <w:rFonts w:eastAsia="SimSun"/>
                <w:sz w:val="21"/>
                <w:szCs w:val="21"/>
              </w:rPr>
              <w:t>益精，补精，益精补髓，补益精血，益精填髓</w:t>
            </w:r>
            <w:r w:rsidRPr="005F1603">
              <w:rPr>
                <w:rFonts w:eastAsia="SimSun"/>
                <w:sz w:val="21"/>
                <w:szCs w:val="21"/>
              </w:rPr>
              <w:t>,</w:t>
            </w:r>
            <w:r w:rsidRPr="005F1603">
              <w:rPr>
                <w:rFonts w:eastAsia="SimSun"/>
                <w:sz w:val="21"/>
                <w:szCs w:val="21"/>
              </w:rPr>
              <w:t>滋养补虚，补气，补虚弱，补益心脾，补中</w:t>
            </w:r>
          </w:p>
        </w:tc>
      </w:tr>
      <w:tr w:rsidR="005F1603" w:rsidRPr="005F1603" w14:paraId="2F30404D" w14:textId="77777777" w:rsidTr="00EE1852">
        <w:trPr>
          <w:trHeight w:val="278"/>
          <w:jc w:val="center"/>
        </w:trPr>
        <w:tc>
          <w:tcPr>
            <w:tcW w:w="1696" w:type="dxa"/>
            <w:noWrap/>
            <w:vAlign w:val="center"/>
          </w:tcPr>
          <w:p w14:paraId="2144225C"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dissipating dampness</w:t>
            </w:r>
          </w:p>
        </w:tc>
        <w:tc>
          <w:tcPr>
            <w:tcW w:w="6600" w:type="dxa"/>
            <w:noWrap/>
            <w:vAlign w:val="center"/>
          </w:tcPr>
          <w:p w14:paraId="4DE6ED73"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化湿，化浊，除湿，化湿浊，芳香化湿</w:t>
            </w:r>
            <w:r w:rsidRPr="005F1603">
              <w:rPr>
                <w:rFonts w:eastAsia="SimSun"/>
                <w:sz w:val="21"/>
                <w:szCs w:val="21"/>
              </w:rPr>
              <w:t>,</w:t>
            </w:r>
            <w:r w:rsidRPr="005F1603">
              <w:rPr>
                <w:rFonts w:eastAsia="SimSun"/>
                <w:sz w:val="21"/>
                <w:szCs w:val="21"/>
              </w:rPr>
              <w:t>健脾，健运脾胃，补脾，辟秽</w:t>
            </w:r>
          </w:p>
        </w:tc>
      </w:tr>
      <w:tr w:rsidR="005F1603" w:rsidRPr="005F1603" w14:paraId="451D848A" w14:textId="77777777" w:rsidTr="00EE1852">
        <w:trPr>
          <w:trHeight w:val="278"/>
          <w:jc w:val="center"/>
        </w:trPr>
        <w:tc>
          <w:tcPr>
            <w:tcW w:w="1696" w:type="dxa"/>
            <w:noWrap/>
            <w:vAlign w:val="center"/>
          </w:tcPr>
          <w:p w14:paraId="691F968C"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phlegm-eliminating cough-relieving and asthma-relieving</w:t>
            </w:r>
          </w:p>
        </w:tc>
        <w:tc>
          <w:tcPr>
            <w:tcW w:w="6600" w:type="dxa"/>
            <w:noWrap/>
            <w:vAlign w:val="center"/>
          </w:tcPr>
          <w:p w14:paraId="7BDF6B1F"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利咽喉，利咽开音，解毒利咽</w:t>
            </w:r>
            <w:r w:rsidRPr="005F1603">
              <w:rPr>
                <w:rFonts w:eastAsia="SimSun"/>
                <w:sz w:val="21"/>
                <w:szCs w:val="21"/>
              </w:rPr>
              <w:t>,</w:t>
            </w:r>
            <w:r w:rsidRPr="005F1603">
              <w:rPr>
                <w:rFonts w:eastAsia="SimSun"/>
                <w:sz w:val="21"/>
                <w:szCs w:val="21"/>
              </w:rPr>
              <w:t>平喘，定喘，宣肺平喘，纳气平喘，降气平喘，化痰，化饮</w:t>
            </w:r>
            <w:r w:rsidRPr="005F1603">
              <w:rPr>
                <w:rFonts w:eastAsia="SimSun"/>
                <w:sz w:val="21"/>
                <w:szCs w:val="21"/>
              </w:rPr>
              <w:t>,</w:t>
            </w:r>
            <w:r w:rsidRPr="005F1603">
              <w:rPr>
                <w:rFonts w:eastAsia="SimSun"/>
                <w:sz w:val="21"/>
                <w:szCs w:val="21"/>
              </w:rPr>
              <w:t>祛痰，消痰，涤痰，开痰，坠痰，豁痰，祛痰，温化寒痰，清化热痰</w:t>
            </w:r>
            <w:r w:rsidRPr="005F1603">
              <w:rPr>
                <w:rFonts w:eastAsia="SimSun"/>
                <w:sz w:val="21"/>
                <w:szCs w:val="21"/>
              </w:rPr>
              <w:t>,</w:t>
            </w:r>
            <w:r w:rsidRPr="005F1603">
              <w:rPr>
                <w:rFonts w:eastAsia="SimSun"/>
                <w:sz w:val="21"/>
                <w:szCs w:val="21"/>
              </w:rPr>
              <w:t>泻肺，泻肺气，泻肺火</w:t>
            </w:r>
            <w:r w:rsidRPr="005F1603">
              <w:rPr>
                <w:rFonts w:eastAsia="SimSun"/>
                <w:sz w:val="21"/>
                <w:szCs w:val="21"/>
              </w:rPr>
              <w:t>,</w:t>
            </w:r>
            <w:r w:rsidRPr="005F1603">
              <w:rPr>
                <w:rFonts w:eastAsia="SimSun"/>
                <w:sz w:val="21"/>
                <w:szCs w:val="21"/>
              </w:rPr>
              <w:t>镇咳，宣肺止咳，止咳</w:t>
            </w:r>
            <w:r w:rsidRPr="005F1603">
              <w:rPr>
                <w:rFonts w:eastAsia="SimSun"/>
                <w:sz w:val="21"/>
                <w:szCs w:val="21"/>
              </w:rPr>
              <w:t>,</w:t>
            </w:r>
            <w:r w:rsidRPr="005F1603">
              <w:rPr>
                <w:rFonts w:eastAsia="SimSun"/>
                <w:sz w:val="21"/>
                <w:szCs w:val="21"/>
              </w:rPr>
              <w:t>利气，除痰</w:t>
            </w:r>
            <w:r w:rsidRPr="005F1603">
              <w:rPr>
                <w:rFonts w:eastAsia="SimSun"/>
                <w:sz w:val="21"/>
                <w:szCs w:val="21"/>
              </w:rPr>
              <w:t>,</w:t>
            </w:r>
            <w:r w:rsidRPr="005F1603">
              <w:rPr>
                <w:rFonts w:eastAsia="SimSun"/>
                <w:sz w:val="21"/>
                <w:szCs w:val="21"/>
              </w:rPr>
              <w:t>润肺、润燥、润肺燥、润滑燥</w:t>
            </w:r>
            <w:r w:rsidRPr="005F1603">
              <w:rPr>
                <w:rFonts w:eastAsia="SimSun"/>
                <w:sz w:val="21"/>
                <w:szCs w:val="21"/>
              </w:rPr>
              <w:t>,</w:t>
            </w:r>
            <w:r w:rsidRPr="005F1603">
              <w:rPr>
                <w:rFonts w:eastAsia="SimSun"/>
                <w:sz w:val="21"/>
                <w:szCs w:val="21"/>
              </w:rPr>
              <w:t>宣肺、宣肺气、宣开肺气、开宣肺气、清宣肺气、宣肺疗哑、宣肺利咽、宣肺发汗、宣散肺经风热</w:t>
            </w:r>
          </w:p>
        </w:tc>
      </w:tr>
      <w:tr w:rsidR="005F1603" w:rsidRPr="005F1603" w14:paraId="049F1A22" w14:textId="77777777" w:rsidTr="00EE1852">
        <w:trPr>
          <w:trHeight w:val="278"/>
          <w:jc w:val="center"/>
        </w:trPr>
        <w:tc>
          <w:tcPr>
            <w:tcW w:w="1696" w:type="dxa"/>
            <w:noWrap/>
            <w:vAlign w:val="center"/>
          </w:tcPr>
          <w:p w14:paraId="18727AC7"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calm the liver to stop the wind</w:t>
            </w:r>
          </w:p>
        </w:tc>
        <w:tc>
          <w:tcPr>
            <w:tcW w:w="6600" w:type="dxa"/>
            <w:noWrap/>
            <w:vAlign w:val="center"/>
          </w:tcPr>
          <w:p w14:paraId="7ADCD332"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平肝潜阳，潜阳，平抑肝阳，平肝阳，镇肝，息风，息肝风，止痉，平肝息风，镇肝息风，祛风解痉，解痉</w:t>
            </w:r>
          </w:p>
        </w:tc>
      </w:tr>
      <w:tr w:rsidR="005F1603" w:rsidRPr="005F1603" w14:paraId="7683D1E9" w14:textId="77777777" w:rsidTr="00EE1852">
        <w:trPr>
          <w:trHeight w:val="278"/>
          <w:jc w:val="center"/>
        </w:trPr>
        <w:tc>
          <w:tcPr>
            <w:tcW w:w="1696" w:type="dxa"/>
            <w:noWrap/>
            <w:vAlign w:val="center"/>
          </w:tcPr>
          <w:p w14:paraId="66BA2C4B"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diaphoresis relieving superficies</w:t>
            </w:r>
          </w:p>
        </w:tc>
        <w:tc>
          <w:tcPr>
            <w:tcW w:w="6600" w:type="dxa"/>
            <w:noWrap/>
            <w:vAlign w:val="center"/>
          </w:tcPr>
          <w:p w14:paraId="0F421DF4"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发汗解表，发汗解肌，发表散风，解表散风，散寒祛风，发散风寒，发散风热，祛风散寒发表，解表，疏散风热，疏散，解肌退热，疏散退热，疏风，通窍，通鼻窍，宣通鼻窍，宣散风热</w:t>
            </w:r>
          </w:p>
        </w:tc>
      </w:tr>
      <w:tr w:rsidR="005F1603" w:rsidRPr="005F1603" w14:paraId="69D379E7" w14:textId="77777777" w:rsidTr="00EE1852">
        <w:trPr>
          <w:trHeight w:val="278"/>
          <w:jc w:val="center"/>
        </w:trPr>
        <w:tc>
          <w:tcPr>
            <w:tcW w:w="1696" w:type="dxa"/>
            <w:noWrap/>
            <w:vAlign w:val="center"/>
          </w:tcPr>
          <w:p w14:paraId="3A18C14B"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inducing resuscitation</w:t>
            </w:r>
          </w:p>
        </w:tc>
        <w:tc>
          <w:tcPr>
            <w:tcW w:w="6600" w:type="dxa"/>
            <w:noWrap/>
            <w:vAlign w:val="center"/>
          </w:tcPr>
          <w:p w14:paraId="62BC3894"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开窍醒神，利心窍，利窍</w:t>
            </w:r>
          </w:p>
        </w:tc>
      </w:tr>
      <w:tr w:rsidR="00DA17FF" w:rsidRPr="005F1603" w14:paraId="206228CD" w14:textId="77777777" w:rsidTr="00EE1852">
        <w:trPr>
          <w:trHeight w:val="278"/>
          <w:jc w:val="center"/>
        </w:trPr>
        <w:tc>
          <w:tcPr>
            <w:tcW w:w="1696" w:type="dxa"/>
            <w:noWrap/>
            <w:vAlign w:val="center"/>
          </w:tcPr>
          <w:p w14:paraId="70F88196"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regulating qi</w:t>
            </w:r>
          </w:p>
        </w:tc>
        <w:tc>
          <w:tcPr>
            <w:tcW w:w="6600" w:type="dxa"/>
            <w:noWrap/>
            <w:vAlign w:val="center"/>
          </w:tcPr>
          <w:p w14:paraId="08903C33"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理气，行气，破气，和中</w:t>
            </w:r>
            <w:r w:rsidRPr="005F1603">
              <w:rPr>
                <w:rFonts w:eastAsia="SimSun"/>
                <w:sz w:val="21"/>
                <w:szCs w:val="21"/>
              </w:rPr>
              <w:t>,</w:t>
            </w:r>
            <w:r w:rsidRPr="005F1603">
              <w:rPr>
                <w:rFonts w:eastAsia="SimSun"/>
                <w:sz w:val="21"/>
                <w:szCs w:val="21"/>
              </w:rPr>
              <w:t>降气、下气、降肺气、清降肺气、肃降肺气、降逆、降止逆之肺气</w:t>
            </w:r>
            <w:r w:rsidRPr="005F1603">
              <w:rPr>
                <w:rFonts w:eastAsia="SimSun"/>
                <w:sz w:val="21"/>
                <w:szCs w:val="21"/>
              </w:rPr>
              <w:t>,</w:t>
            </w:r>
            <w:r w:rsidRPr="005F1603">
              <w:rPr>
                <w:rFonts w:eastAsia="SimSun"/>
                <w:sz w:val="21"/>
                <w:szCs w:val="21"/>
              </w:rPr>
              <w:t>宽中、宽中除胀、畅中，除满，止呃</w:t>
            </w:r>
          </w:p>
        </w:tc>
      </w:tr>
      <w:bookmarkEnd w:id="28"/>
    </w:tbl>
    <w:p w14:paraId="570A34B4" w14:textId="77777777" w:rsidR="00DA17FF" w:rsidRPr="005F1603" w:rsidRDefault="00DA17FF" w:rsidP="00DA17FF">
      <w:pPr>
        <w:ind w:firstLineChars="0" w:firstLine="0"/>
        <w:jc w:val="center"/>
        <w:rPr>
          <w:rFonts w:eastAsia="DengXian" w:cs="Times New Roman"/>
          <w:sz w:val="21"/>
          <w:szCs w:val="21"/>
        </w:rPr>
      </w:pPr>
    </w:p>
    <w:p w14:paraId="2F02C375" w14:textId="77777777" w:rsidR="007B4D9D" w:rsidRPr="005F1603" w:rsidRDefault="007B4D9D" w:rsidP="00DA17FF">
      <w:pPr>
        <w:ind w:firstLineChars="0" w:firstLine="0"/>
        <w:jc w:val="center"/>
        <w:rPr>
          <w:rFonts w:eastAsia="DengXian" w:cs="Times New Roman"/>
          <w:sz w:val="21"/>
          <w:szCs w:val="21"/>
        </w:rPr>
      </w:pPr>
    </w:p>
    <w:p w14:paraId="0EC25781" w14:textId="77777777" w:rsidR="004157C1" w:rsidRPr="005F1603" w:rsidRDefault="004157C1" w:rsidP="00DA17FF">
      <w:pPr>
        <w:ind w:firstLineChars="0" w:firstLine="0"/>
        <w:jc w:val="center"/>
        <w:rPr>
          <w:rFonts w:eastAsia="DengXian" w:cs="Times New Roman"/>
          <w:sz w:val="21"/>
          <w:szCs w:val="21"/>
        </w:rPr>
      </w:pPr>
    </w:p>
    <w:p w14:paraId="1D1CF706" w14:textId="0F37A29D" w:rsidR="00DA17FF" w:rsidRPr="005F1603" w:rsidRDefault="00DA17FF" w:rsidP="00DA17FF">
      <w:pPr>
        <w:ind w:firstLineChars="0" w:firstLine="0"/>
        <w:jc w:val="center"/>
        <w:rPr>
          <w:rFonts w:eastAsia="DengXian" w:cs="Times New Roman"/>
          <w:sz w:val="21"/>
          <w:szCs w:val="21"/>
        </w:rPr>
      </w:pPr>
      <w:bookmarkStart w:id="31" w:name="OLE_LINK30"/>
      <w:r w:rsidRPr="005F1603">
        <w:rPr>
          <w:rFonts w:eastAsia="DengXian" w:cs="Times New Roman"/>
          <w:sz w:val="21"/>
          <w:szCs w:val="21"/>
        </w:rPr>
        <w:t xml:space="preserve">Table S4. </w:t>
      </w:r>
      <w:bookmarkStart w:id="32" w:name="OLE_LINK32"/>
      <w:r w:rsidR="00D94A93" w:rsidRPr="005F1603">
        <w:rPr>
          <w:rFonts w:eastAsia="DengXian" w:cs="Times New Roman" w:hint="eastAsia"/>
          <w:sz w:val="21"/>
          <w:szCs w:val="21"/>
        </w:rPr>
        <w:t>(</w:t>
      </w:r>
      <w:r w:rsidRPr="005F1603">
        <w:rPr>
          <w:rFonts w:eastAsia="DengXian" w:cs="Times New Roman"/>
          <w:sz w:val="21"/>
          <w:szCs w:val="21"/>
        </w:rPr>
        <w:t>Continued</w:t>
      </w:r>
      <w:r w:rsidR="00D94A93" w:rsidRPr="005F1603">
        <w:rPr>
          <w:rFonts w:eastAsia="DengXian" w:cs="Times New Roman" w:hint="eastAsia"/>
          <w:sz w:val="21"/>
          <w:szCs w:val="21"/>
        </w:rPr>
        <w:t>)</w:t>
      </w:r>
      <w:r w:rsidRPr="005F1603">
        <w:rPr>
          <w:rFonts w:eastAsia="DengXian" w:cs="Times New Roman"/>
          <w:sz w:val="21"/>
          <w:szCs w:val="21"/>
        </w:rPr>
        <w:t xml:space="preserve"> </w:t>
      </w:r>
      <w:bookmarkEnd w:id="32"/>
      <w:r w:rsidRPr="005F1603">
        <w:rPr>
          <w:rFonts w:eastAsia="DengXian" w:cs="Times New Roman"/>
          <w:sz w:val="21"/>
          <w:szCs w:val="21"/>
        </w:rPr>
        <w:t>Mapping table for efficacy standardization</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321"/>
      </w:tblGrid>
      <w:tr w:rsidR="005F1603" w:rsidRPr="005F1603" w14:paraId="128944C0" w14:textId="77777777" w:rsidTr="00DA17FF">
        <w:trPr>
          <w:trHeight w:val="278"/>
        </w:trPr>
        <w:tc>
          <w:tcPr>
            <w:tcW w:w="1985" w:type="dxa"/>
            <w:tcBorders>
              <w:top w:val="single" w:sz="12" w:space="0" w:color="auto"/>
              <w:bottom w:val="single" w:sz="6" w:space="0" w:color="auto"/>
            </w:tcBorders>
            <w:noWrap/>
            <w:vAlign w:val="center"/>
          </w:tcPr>
          <w:bookmarkEnd w:id="31"/>
          <w:p w14:paraId="7B3D5FBE"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Standardized efficacy category</w:t>
            </w:r>
          </w:p>
        </w:tc>
        <w:tc>
          <w:tcPr>
            <w:tcW w:w="6321" w:type="dxa"/>
            <w:tcBorders>
              <w:top w:val="single" w:sz="12" w:space="0" w:color="auto"/>
              <w:bottom w:val="single" w:sz="6" w:space="0" w:color="auto"/>
            </w:tcBorders>
            <w:noWrap/>
            <w:vAlign w:val="center"/>
          </w:tcPr>
          <w:p w14:paraId="7C8EEF8F" w14:textId="77777777" w:rsidR="00DA17FF" w:rsidRPr="005F1603" w:rsidRDefault="00DA17FF" w:rsidP="00DA17FF">
            <w:pPr>
              <w:ind w:firstLineChars="0" w:firstLine="0"/>
              <w:jc w:val="center"/>
              <w:rPr>
                <w:rFonts w:eastAsia="SimSun"/>
                <w:sz w:val="21"/>
                <w:szCs w:val="21"/>
              </w:rPr>
            </w:pPr>
            <w:r w:rsidRPr="005F1603">
              <w:rPr>
                <w:rFonts w:eastAsia="SimSun"/>
                <w:sz w:val="21"/>
                <w:szCs w:val="21"/>
              </w:rPr>
              <w:t>Original efficacy term</w:t>
            </w:r>
          </w:p>
        </w:tc>
      </w:tr>
      <w:tr w:rsidR="005F1603" w:rsidRPr="005F1603" w14:paraId="017C6CFD" w14:textId="77777777" w:rsidTr="00DA17FF">
        <w:trPr>
          <w:trHeight w:val="278"/>
        </w:trPr>
        <w:tc>
          <w:tcPr>
            <w:tcW w:w="1985" w:type="dxa"/>
            <w:noWrap/>
            <w:vAlign w:val="center"/>
          </w:tcPr>
          <w:p w14:paraId="371F40B5" w14:textId="77777777" w:rsidR="00DA17FF" w:rsidRPr="005F1603" w:rsidRDefault="00DA17FF" w:rsidP="00DA17FF">
            <w:pPr>
              <w:ind w:firstLineChars="0" w:firstLine="0"/>
              <w:rPr>
                <w:rFonts w:eastAsia="SimSun"/>
                <w:sz w:val="21"/>
                <w:szCs w:val="21"/>
              </w:rPr>
            </w:pPr>
            <w:r w:rsidRPr="005F1603">
              <w:rPr>
                <w:rFonts w:eastAsia="SimSun"/>
                <w:sz w:val="21"/>
                <w:szCs w:val="21"/>
              </w:rPr>
              <w:t>clearing away heat</w:t>
            </w:r>
          </w:p>
        </w:tc>
        <w:tc>
          <w:tcPr>
            <w:tcW w:w="6321" w:type="dxa"/>
            <w:noWrap/>
            <w:vAlign w:val="center"/>
          </w:tcPr>
          <w:p w14:paraId="45023A1E" w14:textId="77777777" w:rsidR="00DA17FF" w:rsidRPr="005F1603" w:rsidRDefault="00DA17FF" w:rsidP="00DA17FF">
            <w:pPr>
              <w:ind w:firstLineChars="0" w:firstLine="0"/>
              <w:rPr>
                <w:rFonts w:eastAsia="SimSun"/>
                <w:sz w:val="21"/>
                <w:szCs w:val="21"/>
              </w:rPr>
            </w:pPr>
            <w:r w:rsidRPr="005F1603">
              <w:rPr>
                <w:rFonts w:eastAsia="SimSun"/>
                <w:sz w:val="21"/>
                <w:szCs w:val="21"/>
              </w:rPr>
              <w:t>清热泻火，清热，泻火，清泻胃火，清泻肺火，清肺泄热，清肺泻火，清心，清心火，清心降火，降火，清火，清心泻热，清肺，清肺热</w:t>
            </w:r>
            <w:r w:rsidRPr="005F1603">
              <w:rPr>
                <w:rFonts w:eastAsia="SimSun"/>
                <w:sz w:val="21"/>
                <w:szCs w:val="21"/>
              </w:rPr>
              <w:t>(</w:t>
            </w:r>
            <w:r w:rsidRPr="005F1603">
              <w:rPr>
                <w:rFonts w:eastAsia="SimSun"/>
                <w:sz w:val="21"/>
                <w:szCs w:val="21"/>
              </w:rPr>
              <w:t>火</w:t>
            </w:r>
            <w:r w:rsidRPr="005F1603">
              <w:rPr>
                <w:rFonts w:eastAsia="SimSun"/>
                <w:sz w:val="21"/>
                <w:szCs w:val="21"/>
              </w:rPr>
              <w:t>)</w:t>
            </w:r>
            <w:r w:rsidRPr="005F1603">
              <w:rPr>
                <w:rFonts w:eastAsia="SimSun"/>
                <w:sz w:val="21"/>
                <w:szCs w:val="21"/>
              </w:rPr>
              <w:t>，清肝火，清肝，清肝泻火，清泄肝火，清肝热，清泻肝热，清降肝火，泻肝胆火，清泻胃热，清胃火，清胃热，降热，退虚热，清虚热，除骨蒸，除疳热，除烦热，清热毒，清胃热，清湿热，清利湿热，除蒸，除热，清热结，退虚热，滋阴降火，清肺降火</w:t>
            </w:r>
          </w:p>
        </w:tc>
      </w:tr>
      <w:tr w:rsidR="005F1603" w:rsidRPr="005F1603" w14:paraId="0B04BB56" w14:textId="77777777" w:rsidTr="00DA17FF">
        <w:trPr>
          <w:trHeight w:val="278"/>
        </w:trPr>
        <w:tc>
          <w:tcPr>
            <w:tcW w:w="1985" w:type="dxa"/>
            <w:noWrap/>
            <w:vAlign w:val="center"/>
          </w:tcPr>
          <w:p w14:paraId="4EA567F4" w14:textId="2E937C1F" w:rsidR="00DA17FF" w:rsidRPr="005F1603" w:rsidRDefault="00DA17FF" w:rsidP="00DA17FF">
            <w:pPr>
              <w:ind w:firstLineChars="0" w:firstLine="0"/>
              <w:rPr>
                <w:rFonts w:eastAsia="SimSun"/>
                <w:sz w:val="21"/>
                <w:szCs w:val="21"/>
              </w:rPr>
            </w:pPr>
            <w:r w:rsidRPr="005F1603">
              <w:rPr>
                <w:rFonts w:eastAsia="SimSun"/>
                <w:sz w:val="21"/>
                <w:szCs w:val="21"/>
              </w:rPr>
              <w:t>removing dampness and promoting diuresis</w:t>
            </w:r>
          </w:p>
        </w:tc>
        <w:tc>
          <w:tcPr>
            <w:tcW w:w="6321" w:type="dxa"/>
            <w:noWrap/>
            <w:vAlign w:val="center"/>
          </w:tcPr>
          <w:p w14:paraId="3A91EB82" w14:textId="6B0D7778" w:rsidR="00DA17FF" w:rsidRPr="005F1603" w:rsidRDefault="00DA17FF" w:rsidP="00DA17FF">
            <w:pPr>
              <w:ind w:firstLineChars="0" w:firstLine="0"/>
              <w:rPr>
                <w:rFonts w:eastAsia="SimSun"/>
                <w:sz w:val="21"/>
                <w:szCs w:val="21"/>
              </w:rPr>
            </w:pPr>
            <w:r w:rsidRPr="005F1603">
              <w:rPr>
                <w:rFonts w:eastAsia="SimSun" w:hint="eastAsia"/>
                <w:sz w:val="21"/>
                <w:szCs w:val="21"/>
              </w:rPr>
              <w:t>利水，利尿，利小便，利水消肿，利尿消肿，行水消肿，利水渗湿，利水湿，利湿，渗湿，利湿热，清利湿热，利水通淋，利尿通淋，利湿通淋，通淋，通利小便，利水道，渗湿泄热，宣肺利尿，清利肝胆湿热</w:t>
            </w:r>
            <w:r w:rsidRPr="005F1603">
              <w:rPr>
                <w:rFonts w:eastAsia="SimSun"/>
                <w:sz w:val="21"/>
                <w:szCs w:val="21"/>
              </w:rPr>
              <w:t>,</w:t>
            </w:r>
            <w:r w:rsidRPr="005F1603">
              <w:rPr>
                <w:rFonts w:eastAsia="SimSun" w:hint="eastAsia"/>
                <w:sz w:val="21"/>
                <w:szCs w:val="21"/>
              </w:rPr>
              <w:t>排石，化石，排出结石</w:t>
            </w:r>
            <w:r w:rsidRPr="005F1603">
              <w:rPr>
                <w:rFonts w:eastAsia="SimSun"/>
                <w:sz w:val="21"/>
                <w:szCs w:val="21"/>
              </w:rPr>
              <w:t>,</w:t>
            </w:r>
            <w:r w:rsidRPr="005F1603">
              <w:rPr>
                <w:rFonts w:eastAsia="SimSun" w:hint="eastAsia"/>
                <w:sz w:val="21"/>
                <w:szCs w:val="21"/>
              </w:rPr>
              <w:t>退黄疸，利胆退黄，祛湿退黄</w:t>
            </w:r>
          </w:p>
        </w:tc>
      </w:tr>
      <w:tr w:rsidR="005F1603" w:rsidRPr="005F1603" w14:paraId="49B76AE0" w14:textId="77777777" w:rsidTr="00DA17FF">
        <w:trPr>
          <w:trHeight w:val="278"/>
        </w:trPr>
        <w:tc>
          <w:tcPr>
            <w:tcW w:w="1985" w:type="dxa"/>
            <w:noWrap/>
            <w:vAlign w:val="center"/>
          </w:tcPr>
          <w:p w14:paraId="1D6DE274" w14:textId="77777777" w:rsidR="00DA17FF" w:rsidRPr="005F1603" w:rsidRDefault="00DA17FF" w:rsidP="00DA17FF">
            <w:pPr>
              <w:ind w:firstLineChars="0" w:firstLine="0"/>
              <w:rPr>
                <w:rFonts w:eastAsia="SimSun"/>
                <w:sz w:val="21"/>
                <w:szCs w:val="21"/>
              </w:rPr>
            </w:pPr>
            <w:proofErr w:type="spellStart"/>
            <w:r w:rsidRPr="005F1603">
              <w:rPr>
                <w:rFonts w:eastAsia="SimSun"/>
                <w:sz w:val="21"/>
                <w:szCs w:val="21"/>
              </w:rPr>
              <w:t>helminthicide</w:t>
            </w:r>
            <w:proofErr w:type="spellEnd"/>
          </w:p>
        </w:tc>
        <w:tc>
          <w:tcPr>
            <w:tcW w:w="6321" w:type="dxa"/>
            <w:noWrap/>
            <w:vAlign w:val="center"/>
          </w:tcPr>
          <w:p w14:paraId="1B954CFE" w14:textId="77777777" w:rsidR="00DA17FF" w:rsidRPr="005F1603" w:rsidRDefault="00DA17FF" w:rsidP="00DA17FF">
            <w:pPr>
              <w:ind w:firstLineChars="0" w:firstLine="0"/>
              <w:rPr>
                <w:rFonts w:eastAsia="SimSun"/>
                <w:sz w:val="21"/>
                <w:szCs w:val="21"/>
              </w:rPr>
            </w:pPr>
            <w:r w:rsidRPr="005F1603">
              <w:rPr>
                <w:rFonts w:eastAsia="SimSun"/>
                <w:sz w:val="21"/>
                <w:szCs w:val="21"/>
              </w:rPr>
              <w:t>防腐，化腐，去腐</w:t>
            </w:r>
            <w:r w:rsidRPr="005F1603">
              <w:rPr>
                <w:rFonts w:eastAsia="SimSun"/>
                <w:sz w:val="21"/>
                <w:szCs w:val="21"/>
              </w:rPr>
              <w:t>,</w:t>
            </w:r>
            <w:r w:rsidRPr="005F1603">
              <w:rPr>
                <w:rFonts w:eastAsia="SimSun"/>
                <w:sz w:val="21"/>
                <w:szCs w:val="21"/>
              </w:rPr>
              <w:t>疗癣，截疟，灭虱</w:t>
            </w:r>
            <w:r w:rsidRPr="005F1603">
              <w:rPr>
                <w:rFonts w:eastAsia="SimSun"/>
                <w:sz w:val="21"/>
                <w:szCs w:val="21"/>
              </w:rPr>
              <w:t>,</w:t>
            </w:r>
            <w:r w:rsidRPr="005F1603">
              <w:rPr>
                <w:rFonts w:eastAsia="SimSun"/>
                <w:sz w:val="21"/>
                <w:szCs w:val="21"/>
              </w:rPr>
              <w:t>杀虫、安蛔，驱虫</w:t>
            </w:r>
          </w:p>
        </w:tc>
      </w:tr>
      <w:tr w:rsidR="005F1603" w:rsidRPr="005F1603" w14:paraId="1E961066" w14:textId="77777777" w:rsidTr="00DA17FF">
        <w:trPr>
          <w:trHeight w:val="278"/>
        </w:trPr>
        <w:tc>
          <w:tcPr>
            <w:tcW w:w="1985" w:type="dxa"/>
            <w:noWrap/>
            <w:vAlign w:val="center"/>
          </w:tcPr>
          <w:p w14:paraId="1C8BF738" w14:textId="77777777" w:rsidR="00DA17FF" w:rsidRPr="005F1603" w:rsidRDefault="00DA17FF" w:rsidP="00DA17FF">
            <w:pPr>
              <w:ind w:firstLineChars="0" w:firstLine="0"/>
              <w:rPr>
                <w:rFonts w:eastAsia="SimSun"/>
                <w:sz w:val="21"/>
                <w:szCs w:val="21"/>
              </w:rPr>
            </w:pPr>
            <w:r w:rsidRPr="005F1603">
              <w:rPr>
                <w:rFonts w:eastAsia="SimSun"/>
                <w:sz w:val="21"/>
                <w:szCs w:val="21"/>
              </w:rPr>
              <w:t>curing rheumatism</w:t>
            </w:r>
          </w:p>
        </w:tc>
        <w:tc>
          <w:tcPr>
            <w:tcW w:w="6321" w:type="dxa"/>
            <w:noWrap/>
            <w:vAlign w:val="center"/>
          </w:tcPr>
          <w:p w14:paraId="4097E76D" w14:textId="77777777" w:rsidR="00DA17FF" w:rsidRPr="005F1603" w:rsidRDefault="00DA17FF" w:rsidP="00DA17FF">
            <w:pPr>
              <w:ind w:firstLineChars="0" w:firstLine="0"/>
              <w:rPr>
                <w:rFonts w:eastAsia="SimSun"/>
                <w:sz w:val="21"/>
                <w:szCs w:val="21"/>
              </w:rPr>
            </w:pPr>
            <w:r w:rsidRPr="005F1603">
              <w:rPr>
                <w:rFonts w:eastAsia="SimSun"/>
                <w:sz w:val="21"/>
                <w:szCs w:val="21"/>
              </w:rPr>
              <w:t>强筋健骨，强腰膝，强骨，活络，强筋骨</w:t>
            </w:r>
            <w:r w:rsidRPr="005F1603">
              <w:rPr>
                <w:rFonts w:eastAsia="SimSun"/>
                <w:sz w:val="21"/>
                <w:szCs w:val="21"/>
              </w:rPr>
              <w:t>,</w:t>
            </w:r>
            <w:r w:rsidRPr="005F1603">
              <w:rPr>
                <w:rFonts w:eastAsia="SimSun"/>
                <w:sz w:val="21"/>
                <w:szCs w:val="21"/>
              </w:rPr>
              <w:t>祛风除湿，胜湿，祛风，祛外风，祛风通弊，除弊，散寒通弊，散寒祛风，祛风散寒，去湿除弊</w:t>
            </w:r>
            <w:r w:rsidRPr="005F1603">
              <w:rPr>
                <w:rFonts w:eastAsia="SimSun"/>
                <w:sz w:val="21"/>
                <w:szCs w:val="21"/>
              </w:rPr>
              <w:t>,</w:t>
            </w:r>
            <w:r w:rsidRPr="005F1603">
              <w:rPr>
                <w:rFonts w:eastAsia="SimSun"/>
                <w:sz w:val="21"/>
                <w:szCs w:val="21"/>
              </w:rPr>
              <w:t>温补肝肾，补益肝肾，益肝肾，补养肝肾，补肾养肝，益肾养肝，补肝肾阴，利关节，祛风，祛外风，祛风，祛风湿</w:t>
            </w:r>
            <w:r w:rsidRPr="005F1603">
              <w:rPr>
                <w:rFonts w:eastAsia="SimSun"/>
                <w:sz w:val="21"/>
                <w:szCs w:val="21"/>
              </w:rPr>
              <w:t>,</w:t>
            </w:r>
            <w:r w:rsidRPr="005F1603">
              <w:rPr>
                <w:rFonts w:eastAsia="SimSun"/>
                <w:sz w:val="21"/>
                <w:szCs w:val="21"/>
              </w:rPr>
              <w:t>续筋接骨、续伤、接骨、续折，续折伤</w:t>
            </w:r>
          </w:p>
        </w:tc>
      </w:tr>
      <w:tr w:rsidR="005F1603" w:rsidRPr="005F1603" w14:paraId="042144B2" w14:textId="77777777" w:rsidTr="00DA17FF">
        <w:trPr>
          <w:trHeight w:val="278"/>
        </w:trPr>
        <w:tc>
          <w:tcPr>
            <w:tcW w:w="1985" w:type="dxa"/>
            <w:noWrap/>
            <w:vAlign w:val="center"/>
          </w:tcPr>
          <w:p w14:paraId="7DFFDDB0" w14:textId="77777777" w:rsidR="00DA17FF" w:rsidRPr="005F1603" w:rsidRDefault="00DA17FF" w:rsidP="00DA17FF">
            <w:pPr>
              <w:ind w:firstLineChars="0" w:firstLine="0"/>
              <w:rPr>
                <w:rFonts w:eastAsia="SimSun"/>
                <w:sz w:val="21"/>
                <w:szCs w:val="21"/>
              </w:rPr>
            </w:pPr>
            <w:r w:rsidRPr="005F1603">
              <w:rPr>
                <w:rFonts w:eastAsia="SimSun"/>
                <w:sz w:val="21"/>
                <w:szCs w:val="21"/>
              </w:rPr>
              <w:t>astringent</w:t>
            </w:r>
          </w:p>
        </w:tc>
        <w:tc>
          <w:tcPr>
            <w:tcW w:w="6321" w:type="dxa"/>
            <w:noWrap/>
            <w:vAlign w:val="center"/>
          </w:tcPr>
          <w:p w14:paraId="5BE89176" w14:textId="77777777" w:rsidR="00DA17FF" w:rsidRPr="005F1603" w:rsidRDefault="00DA17FF" w:rsidP="00DA17FF">
            <w:pPr>
              <w:ind w:firstLineChars="0" w:firstLine="0"/>
              <w:rPr>
                <w:rFonts w:eastAsia="SimSun"/>
                <w:sz w:val="21"/>
                <w:szCs w:val="21"/>
              </w:rPr>
            </w:pPr>
            <w:r w:rsidRPr="005F1603">
              <w:rPr>
                <w:rFonts w:eastAsia="SimSun"/>
                <w:sz w:val="21"/>
                <w:szCs w:val="21"/>
              </w:rPr>
              <w:t>固摄，固脱，固肾，敛肺气，固崩</w:t>
            </w:r>
            <w:r w:rsidRPr="005F1603">
              <w:rPr>
                <w:rFonts w:eastAsia="SimSun"/>
                <w:sz w:val="21"/>
                <w:szCs w:val="21"/>
              </w:rPr>
              <w:t>,</w:t>
            </w:r>
            <w:r w:rsidRPr="005F1603">
              <w:rPr>
                <w:rFonts w:eastAsia="SimSun"/>
                <w:sz w:val="21"/>
                <w:szCs w:val="21"/>
              </w:rPr>
              <w:t>清热止痢，凉血止痢</w:t>
            </w:r>
            <w:r w:rsidRPr="005F1603">
              <w:rPr>
                <w:rFonts w:eastAsia="SimSun"/>
                <w:sz w:val="21"/>
                <w:szCs w:val="21"/>
              </w:rPr>
              <w:t>,</w:t>
            </w:r>
            <w:r w:rsidRPr="005F1603">
              <w:rPr>
                <w:rFonts w:eastAsia="SimSun"/>
                <w:sz w:val="21"/>
                <w:szCs w:val="21"/>
              </w:rPr>
              <w:t>收敛止带，燥湿止带</w:t>
            </w:r>
            <w:r w:rsidRPr="005F1603">
              <w:rPr>
                <w:rFonts w:eastAsia="SimSun"/>
                <w:sz w:val="21"/>
                <w:szCs w:val="21"/>
              </w:rPr>
              <w:t>,</w:t>
            </w:r>
            <w:r w:rsidRPr="005F1603">
              <w:rPr>
                <w:rFonts w:eastAsia="SimSun"/>
                <w:sz w:val="21"/>
                <w:szCs w:val="21"/>
              </w:rPr>
              <w:t>止汗，收敛止汗，敛汗固脱，固表止汗</w:t>
            </w:r>
            <w:r w:rsidRPr="005F1603">
              <w:rPr>
                <w:rFonts w:eastAsia="SimSun"/>
                <w:sz w:val="21"/>
                <w:szCs w:val="21"/>
              </w:rPr>
              <w:t>,</w:t>
            </w:r>
            <w:r w:rsidRPr="005F1603">
              <w:rPr>
                <w:rFonts w:eastAsia="SimSun"/>
                <w:sz w:val="21"/>
                <w:szCs w:val="21"/>
              </w:rPr>
              <w:t>止泻，收涩止泻，涩肠固脱，固精、涩精、固精止遗、收敛固摄，摄唾，摄血，止崩，止崩漏，止泻痢</w:t>
            </w:r>
            <w:r w:rsidRPr="005F1603">
              <w:rPr>
                <w:rFonts w:eastAsia="SimSun"/>
                <w:sz w:val="21"/>
                <w:szCs w:val="21"/>
              </w:rPr>
              <w:t>,</w:t>
            </w:r>
            <w:r w:rsidRPr="005F1603">
              <w:rPr>
                <w:rFonts w:eastAsia="SimSun"/>
                <w:sz w:val="21"/>
                <w:szCs w:val="21"/>
              </w:rPr>
              <w:t>缩尿、止遗、缩尿止遗、止遗溺、固摄、收敛固涩</w:t>
            </w:r>
          </w:p>
        </w:tc>
      </w:tr>
      <w:tr w:rsidR="00DA17FF" w:rsidRPr="005F1603" w14:paraId="309658B1" w14:textId="77777777" w:rsidTr="00DA17FF">
        <w:trPr>
          <w:trHeight w:val="278"/>
        </w:trPr>
        <w:tc>
          <w:tcPr>
            <w:tcW w:w="1985" w:type="dxa"/>
            <w:tcBorders>
              <w:bottom w:val="single" w:sz="12" w:space="0" w:color="auto"/>
            </w:tcBorders>
            <w:noWrap/>
            <w:vAlign w:val="center"/>
          </w:tcPr>
          <w:p w14:paraId="0B551890" w14:textId="77777777" w:rsidR="00DA17FF" w:rsidRPr="005F1603" w:rsidRDefault="00DA17FF" w:rsidP="00DA17FF">
            <w:pPr>
              <w:ind w:firstLineChars="0" w:firstLine="0"/>
              <w:rPr>
                <w:rFonts w:eastAsia="SimSun"/>
                <w:sz w:val="21"/>
                <w:szCs w:val="21"/>
              </w:rPr>
            </w:pPr>
            <w:proofErr w:type="spellStart"/>
            <w:r w:rsidRPr="005F1603">
              <w:rPr>
                <w:rFonts w:eastAsia="SimSun"/>
                <w:sz w:val="21"/>
                <w:szCs w:val="21"/>
              </w:rPr>
              <w:t>wenli</w:t>
            </w:r>
            <w:proofErr w:type="spellEnd"/>
          </w:p>
        </w:tc>
        <w:tc>
          <w:tcPr>
            <w:tcW w:w="6321" w:type="dxa"/>
            <w:tcBorders>
              <w:bottom w:val="single" w:sz="12" w:space="0" w:color="auto"/>
            </w:tcBorders>
            <w:noWrap/>
            <w:vAlign w:val="center"/>
          </w:tcPr>
          <w:p w14:paraId="5A9C131E" w14:textId="77777777" w:rsidR="00DA17FF" w:rsidRPr="005F1603" w:rsidRDefault="00DA17FF" w:rsidP="00DA17FF">
            <w:pPr>
              <w:ind w:firstLineChars="0" w:firstLine="0"/>
              <w:rPr>
                <w:rFonts w:eastAsia="SimSun"/>
                <w:sz w:val="21"/>
                <w:szCs w:val="21"/>
              </w:rPr>
            </w:pPr>
            <w:r w:rsidRPr="005F1603">
              <w:rPr>
                <w:rFonts w:eastAsia="SimSun"/>
                <w:sz w:val="21"/>
                <w:szCs w:val="21"/>
              </w:rPr>
              <w:t>回阳通脉，回阳救逆，散寒，温中，温心阳，温肺，温脾阳，暖脾，温脾，温胃，温肾，温肾暖肝，温肾散寒，温肾阳，暖肾，温经，祛寒，温中散寒，引火归元</w:t>
            </w:r>
          </w:p>
        </w:tc>
      </w:tr>
    </w:tbl>
    <w:p w14:paraId="048E3421" w14:textId="77777777" w:rsidR="00DA17FF" w:rsidRPr="005F1603" w:rsidRDefault="00DA17FF" w:rsidP="00EE6682">
      <w:pPr>
        <w:ind w:firstLineChars="0" w:firstLine="0"/>
        <w:rPr>
          <w:rFonts w:eastAsiaTheme="minorEastAsia"/>
          <w:noProof/>
        </w:rPr>
      </w:pPr>
    </w:p>
    <w:p w14:paraId="7488CF42" w14:textId="77777777" w:rsidR="00DA17FF" w:rsidRPr="005F1603" w:rsidRDefault="00DA17FF" w:rsidP="00DA17FF">
      <w:pPr>
        <w:ind w:firstLineChars="0" w:firstLine="0"/>
        <w:jc w:val="center"/>
        <w:rPr>
          <w:rFonts w:eastAsia="DengXian" w:cs="Times New Roman"/>
          <w:sz w:val="21"/>
          <w:szCs w:val="21"/>
        </w:rPr>
      </w:pPr>
    </w:p>
    <w:p w14:paraId="05840E7F" w14:textId="5161CB00" w:rsidR="00DA17FF" w:rsidRPr="005F1603" w:rsidRDefault="00DA17FF" w:rsidP="00DA17FF">
      <w:pPr>
        <w:ind w:firstLineChars="0" w:firstLine="0"/>
        <w:jc w:val="center"/>
        <w:rPr>
          <w:rFonts w:eastAsia="DengXian" w:cs="Times New Roman"/>
          <w:sz w:val="21"/>
          <w:szCs w:val="21"/>
        </w:rPr>
      </w:pPr>
      <w:r w:rsidRPr="005F1603">
        <w:rPr>
          <w:rFonts w:eastAsia="DengXian" w:cs="Times New Roman"/>
          <w:sz w:val="21"/>
          <w:szCs w:val="21"/>
        </w:rPr>
        <w:t xml:space="preserve">Table S4. </w:t>
      </w:r>
      <w:r w:rsidR="00D94A93" w:rsidRPr="005F1603">
        <w:rPr>
          <w:rFonts w:eastAsia="DengXian" w:cs="Times New Roman" w:hint="eastAsia"/>
          <w:sz w:val="21"/>
          <w:szCs w:val="21"/>
        </w:rPr>
        <w:t>(</w:t>
      </w:r>
      <w:r w:rsidR="00D94A93" w:rsidRPr="005F1603">
        <w:rPr>
          <w:rFonts w:eastAsia="DengXian" w:cs="Times New Roman"/>
          <w:sz w:val="21"/>
          <w:szCs w:val="21"/>
        </w:rPr>
        <w:t>Continued</w:t>
      </w:r>
      <w:r w:rsidR="00D94A93" w:rsidRPr="005F1603">
        <w:rPr>
          <w:rFonts w:eastAsia="DengXian" w:cs="Times New Roman" w:hint="eastAsia"/>
          <w:sz w:val="21"/>
          <w:szCs w:val="21"/>
        </w:rPr>
        <w:t>)</w:t>
      </w:r>
      <w:r w:rsidRPr="005F1603">
        <w:rPr>
          <w:rFonts w:eastAsia="DengXian" w:cs="Times New Roman"/>
          <w:sz w:val="21"/>
          <w:szCs w:val="21"/>
        </w:rPr>
        <w:t xml:space="preserve"> Mapping table for efficacy standardization</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321"/>
      </w:tblGrid>
      <w:tr w:rsidR="005F1603" w:rsidRPr="005F1603" w14:paraId="3C7833B4" w14:textId="77777777" w:rsidTr="00DA17FF">
        <w:trPr>
          <w:trHeight w:val="278"/>
        </w:trPr>
        <w:tc>
          <w:tcPr>
            <w:tcW w:w="1985" w:type="dxa"/>
            <w:tcBorders>
              <w:top w:val="single" w:sz="12" w:space="0" w:color="auto"/>
              <w:bottom w:val="single" w:sz="6" w:space="0" w:color="auto"/>
            </w:tcBorders>
            <w:noWrap/>
            <w:vAlign w:val="center"/>
          </w:tcPr>
          <w:p w14:paraId="69022D7B" w14:textId="77777777" w:rsidR="00DA17FF" w:rsidRPr="005F1603" w:rsidRDefault="00DA17FF" w:rsidP="00EE1852">
            <w:pPr>
              <w:ind w:firstLineChars="0" w:firstLine="0"/>
              <w:rPr>
                <w:rFonts w:eastAsia="SimSun"/>
                <w:sz w:val="21"/>
                <w:szCs w:val="21"/>
              </w:rPr>
            </w:pPr>
            <w:r w:rsidRPr="005F1603">
              <w:rPr>
                <w:rFonts w:eastAsia="SimSun"/>
                <w:sz w:val="21"/>
                <w:szCs w:val="21"/>
              </w:rPr>
              <w:t>promoting digestion</w:t>
            </w:r>
          </w:p>
        </w:tc>
        <w:tc>
          <w:tcPr>
            <w:tcW w:w="6321" w:type="dxa"/>
            <w:tcBorders>
              <w:top w:val="single" w:sz="12" w:space="0" w:color="auto"/>
              <w:bottom w:val="single" w:sz="6" w:space="0" w:color="auto"/>
            </w:tcBorders>
            <w:noWrap/>
            <w:vAlign w:val="center"/>
          </w:tcPr>
          <w:p w14:paraId="1397AA98" w14:textId="77777777" w:rsidR="00DA17FF" w:rsidRPr="005F1603" w:rsidRDefault="00DA17FF" w:rsidP="00EE1852">
            <w:pPr>
              <w:ind w:firstLineChars="0" w:firstLine="0"/>
              <w:rPr>
                <w:rFonts w:eastAsia="SimSun"/>
                <w:sz w:val="21"/>
                <w:szCs w:val="21"/>
              </w:rPr>
            </w:pPr>
            <w:r w:rsidRPr="005F1603">
              <w:rPr>
                <w:rFonts w:eastAsia="SimSun"/>
                <w:sz w:val="21"/>
                <w:szCs w:val="21"/>
              </w:rPr>
              <w:t>消积，化积，去积，消积滞，消积导滞，导滞，消食化滞</w:t>
            </w:r>
            <w:r w:rsidRPr="005F1603">
              <w:rPr>
                <w:rFonts w:eastAsia="SimSun"/>
                <w:sz w:val="21"/>
                <w:szCs w:val="21"/>
              </w:rPr>
              <w:t>,</w:t>
            </w:r>
            <w:r w:rsidRPr="005F1603">
              <w:rPr>
                <w:rFonts w:eastAsia="SimSun"/>
                <w:sz w:val="21"/>
                <w:szCs w:val="21"/>
              </w:rPr>
              <w:t>健胃</w:t>
            </w:r>
            <w:r w:rsidRPr="005F1603">
              <w:rPr>
                <w:rFonts w:eastAsia="SimSun"/>
                <w:sz w:val="21"/>
                <w:szCs w:val="21"/>
              </w:rPr>
              <w:t>,</w:t>
            </w:r>
            <w:r w:rsidRPr="005F1603">
              <w:rPr>
                <w:rFonts w:eastAsia="SimSun"/>
                <w:sz w:val="21"/>
                <w:szCs w:val="21"/>
              </w:rPr>
              <w:t>开胃，开胃进食，进食，消食，消食化积，消食和胃，消化油腻肉食积滞，促进淀粉性食物消化，制酸，收敛制酸</w:t>
            </w:r>
          </w:p>
        </w:tc>
      </w:tr>
      <w:tr w:rsidR="005F1603" w:rsidRPr="005F1603" w14:paraId="46E1E2BF" w14:textId="77777777" w:rsidTr="00DA17FF">
        <w:trPr>
          <w:trHeight w:val="278"/>
        </w:trPr>
        <w:tc>
          <w:tcPr>
            <w:tcW w:w="1985" w:type="dxa"/>
            <w:tcBorders>
              <w:top w:val="single" w:sz="6" w:space="0" w:color="auto"/>
            </w:tcBorders>
            <w:noWrap/>
            <w:vAlign w:val="center"/>
          </w:tcPr>
          <w:p w14:paraId="6A6459DA" w14:textId="77777777" w:rsidR="00DA17FF" w:rsidRPr="005F1603" w:rsidRDefault="00DA17FF" w:rsidP="00EE1852">
            <w:pPr>
              <w:ind w:firstLineChars="0" w:firstLine="0"/>
              <w:rPr>
                <w:rFonts w:eastAsia="SimSun"/>
                <w:sz w:val="21"/>
                <w:szCs w:val="21"/>
              </w:rPr>
            </w:pPr>
            <w:r w:rsidRPr="005F1603">
              <w:rPr>
                <w:rFonts w:eastAsia="SimSun"/>
                <w:sz w:val="21"/>
                <w:szCs w:val="21"/>
                <w:shd w:val="pct15" w:color="auto" w:fill="FFFFFF"/>
              </w:rPr>
              <w:t>purgative</w:t>
            </w:r>
          </w:p>
        </w:tc>
        <w:tc>
          <w:tcPr>
            <w:tcW w:w="6321" w:type="dxa"/>
            <w:tcBorders>
              <w:top w:val="single" w:sz="6" w:space="0" w:color="auto"/>
            </w:tcBorders>
            <w:noWrap/>
            <w:vAlign w:val="center"/>
          </w:tcPr>
          <w:p w14:paraId="26D7FBC1" w14:textId="77777777" w:rsidR="00DA17FF" w:rsidRPr="005F1603" w:rsidRDefault="00DA17FF" w:rsidP="00EE1852">
            <w:pPr>
              <w:ind w:firstLineChars="0" w:firstLine="0"/>
              <w:rPr>
                <w:rFonts w:eastAsia="SimSun"/>
                <w:sz w:val="21"/>
                <w:szCs w:val="21"/>
              </w:rPr>
            </w:pPr>
            <w:r w:rsidRPr="005F1603">
              <w:rPr>
                <w:rFonts w:eastAsia="SimSun"/>
                <w:sz w:val="21"/>
                <w:szCs w:val="21"/>
              </w:rPr>
              <w:t>软坚，润下软坚，泻下攻积，泻下，泻下通便，泻下逐水，泻水逐饮，泻下导滞，逐水，逐水退肿，峻下冷积，润肠通便，滑肠通便，润肠，滑肠，润肠燥，通便，治便秘，温阳通便，缓泻，轻泻，通利二便</w:t>
            </w:r>
          </w:p>
        </w:tc>
      </w:tr>
      <w:tr w:rsidR="005F1603" w:rsidRPr="005F1603" w14:paraId="73A18317" w14:textId="77777777" w:rsidTr="00EE1852">
        <w:trPr>
          <w:trHeight w:val="278"/>
        </w:trPr>
        <w:tc>
          <w:tcPr>
            <w:tcW w:w="1985" w:type="dxa"/>
            <w:tcBorders>
              <w:top w:val="nil"/>
              <w:left w:val="nil"/>
              <w:right w:val="nil"/>
            </w:tcBorders>
            <w:noWrap/>
            <w:vAlign w:val="center"/>
          </w:tcPr>
          <w:p w14:paraId="62C485BD" w14:textId="77777777" w:rsidR="00DA17FF" w:rsidRPr="005F1603" w:rsidRDefault="00DA17FF" w:rsidP="00EE1852">
            <w:pPr>
              <w:ind w:firstLineChars="0" w:firstLine="0"/>
              <w:rPr>
                <w:rFonts w:eastAsia="SimSun"/>
                <w:sz w:val="21"/>
                <w:szCs w:val="21"/>
              </w:rPr>
            </w:pPr>
            <w:r w:rsidRPr="005F1603">
              <w:rPr>
                <w:rFonts w:eastAsia="SimSun"/>
                <w:sz w:val="21"/>
                <w:szCs w:val="21"/>
              </w:rPr>
              <w:t>hemostasis</w:t>
            </w:r>
          </w:p>
        </w:tc>
        <w:tc>
          <w:tcPr>
            <w:tcW w:w="6321" w:type="dxa"/>
            <w:tcBorders>
              <w:top w:val="nil"/>
              <w:left w:val="nil"/>
              <w:right w:val="nil"/>
            </w:tcBorders>
            <w:noWrap/>
            <w:vAlign w:val="center"/>
          </w:tcPr>
          <w:p w14:paraId="284B8106" w14:textId="77777777" w:rsidR="00DA17FF" w:rsidRPr="005F1603" w:rsidRDefault="00DA17FF" w:rsidP="00EE1852">
            <w:pPr>
              <w:ind w:firstLineChars="0" w:firstLine="0"/>
              <w:rPr>
                <w:rFonts w:eastAsia="SimSun"/>
                <w:sz w:val="21"/>
                <w:szCs w:val="21"/>
              </w:rPr>
            </w:pPr>
            <w:r w:rsidRPr="005F1603">
              <w:rPr>
                <w:rFonts w:eastAsia="SimSun"/>
                <w:sz w:val="21"/>
                <w:szCs w:val="21"/>
              </w:rPr>
              <w:t>收敛止血，固经止血，化瘀止血，温经止血，散瘀止血，凉血止血</w:t>
            </w:r>
          </w:p>
        </w:tc>
      </w:tr>
      <w:tr w:rsidR="00DA17FF" w:rsidRPr="005F1603" w14:paraId="0CFBCE8B" w14:textId="77777777" w:rsidTr="00EE1852">
        <w:trPr>
          <w:trHeight w:val="278"/>
        </w:trPr>
        <w:tc>
          <w:tcPr>
            <w:tcW w:w="1985" w:type="dxa"/>
            <w:tcBorders>
              <w:top w:val="nil"/>
              <w:left w:val="nil"/>
              <w:bottom w:val="single" w:sz="12" w:space="0" w:color="auto"/>
              <w:right w:val="nil"/>
            </w:tcBorders>
            <w:noWrap/>
            <w:vAlign w:val="center"/>
          </w:tcPr>
          <w:p w14:paraId="162F073D" w14:textId="77777777" w:rsidR="00DA17FF" w:rsidRPr="005F1603" w:rsidRDefault="00DA17FF" w:rsidP="00EE1852">
            <w:pPr>
              <w:ind w:firstLineChars="0" w:firstLine="0"/>
              <w:rPr>
                <w:rFonts w:eastAsia="SimSun"/>
                <w:sz w:val="21"/>
                <w:szCs w:val="21"/>
              </w:rPr>
            </w:pPr>
            <w:r w:rsidRPr="005F1603">
              <w:rPr>
                <w:rFonts w:eastAsia="SimSun"/>
                <w:sz w:val="21"/>
                <w:szCs w:val="21"/>
              </w:rPr>
              <w:t>activating blood flow and removing blood stasis</w:t>
            </w:r>
          </w:p>
        </w:tc>
        <w:tc>
          <w:tcPr>
            <w:tcW w:w="6321" w:type="dxa"/>
            <w:tcBorders>
              <w:top w:val="nil"/>
              <w:left w:val="nil"/>
              <w:bottom w:val="single" w:sz="12" w:space="0" w:color="auto"/>
              <w:right w:val="nil"/>
            </w:tcBorders>
            <w:noWrap/>
            <w:vAlign w:val="center"/>
          </w:tcPr>
          <w:p w14:paraId="253568A2" w14:textId="77777777" w:rsidR="00DA17FF" w:rsidRPr="005F1603" w:rsidRDefault="00DA17FF" w:rsidP="00EE1852">
            <w:pPr>
              <w:ind w:firstLineChars="0" w:firstLine="0"/>
              <w:rPr>
                <w:rFonts w:eastAsia="SimSun"/>
                <w:sz w:val="21"/>
                <w:szCs w:val="21"/>
              </w:rPr>
            </w:pPr>
            <w:r w:rsidRPr="005F1603">
              <w:rPr>
                <w:rFonts w:eastAsia="SimSun"/>
                <w:sz w:val="21"/>
                <w:szCs w:val="21"/>
              </w:rPr>
              <w:t>活血，祛瘀，化瘀，散瘀，破瘀，破血，逐瘀，活血祛瘀，活血散瘀，破血逐瘀，通利血脉，行血脉，通血脉，利血脉，和血，活血调经，活血通经，调经止痛，养血调经，通经，通经止痛，化癥，活血化瘀</w:t>
            </w:r>
          </w:p>
        </w:tc>
      </w:tr>
    </w:tbl>
    <w:p w14:paraId="5A83DE5B" w14:textId="77777777" w:rsidR="00DA17FF" w:rsidRPr="005F1603" w:rsidRDefault="00DA17FF" w:rsidP="00EE6682">
      <w:pPr>
        <w:ind w:firstLineChars="0" w:firstLine="0"/>
        <w:rPr>
          <w:rFonts w:eastAsiaTheme="minorEastAsia"/>
          <w:noProof/>
        </w:rPr>
      </w:pPr>
    </w:p>
    <w:bookmarkEnd w:id="1"/>
    <w:bookmarkEnd w:id="18"/>
    <w:bookmarkEnd w:id="25"/>
    <w:p w14:paraId="5C5FCE85" w14:textId="67399A89" w:rsidR="00F319E7" w:rsidRPr="005F1603" w:rsidRDefault="00F319E7" w:rsidP="004157C1">
      <w:pPr>
        <w:pStyle w:val="Heading2"/>
      </w:pPr>
      <w:r w:rsidRPr="005F1603">
        <w:t xml:space="preserve">Summary of </w:t>
      </w:r>
      <w:r w:rsidR="005B65D3" w:rsidRPr="005F1603">
        <w:rPr>
          <w:rFonts w:hint="eastAsia"/>
        </w:rPr>
        <w:t>CMM</w:t>
      </w:r>
      <w:r w:rsidRPr="005F1603">
        <w:t xml:space="preserve"> properties, pharmacological effects, and efficacies</w:t>
      </w:r>
    </w:p>
    <w:p w14:paraId="6F9746FB" w14:textId="6208113C" w:rsidR="00F319E7" w:rsidRPr="005F1603" w:rsidRDefault="00F319E7" w:rsidP="00F319E7">
      <w:pPr>
        <w:ind w:firstLine="480"/>
        <w:rPr>
          <w:rFonts w:eastAsiaTheme="minorEastAsia"/>
        </w:rPr>
      </w:pPr>
      <w:r w:rsidRPr="005F1603">
        <w:rPr>
          <w:rFonts w:eastAsiaTheme="minorEastAsia"/>
        </w:rPr>
        <w:t xml:space="preserve">The number of </w:t>
      </w:r>
      <w:r w:rsidR="005B65D3" w:rsidRPr="005F1603">
        <w:rPr>
          <w:rFonts w:eastAsiaTheme="minorEastAsia" w:hint="eastAsia"/>
        </w:rPr>
        <w:t>CMM</w:t>
      </w:r>
      <w:r w:rsidRPr="005F1603">
        <w:rPr>
          <w:rFonts w:eastAsiaTheme="minorEastAsia"/>
        </w:rPr>
        <w:t xml:space="preserve"> herbs associated with analgesia (355), anti-inflammatory activity (474), relieving asthma (340), eliminating phlegm (306), anti-viral activity (300), and anti-tumor activity (401) is relatively large</w:t>
      </w:r>
      <w:r w:rsidR="007670A0" w:rsidRPr="005F1603">
        <w:rPr>
          <w:rFonts w:eastAsiaTheme="minorEastAsia" w:hint="eastAsia"/>
        </w:rPr>
        <w:t xml:space="preserve"> (Fig</w:t>
      </w:r>
      <w:r w:rsidR="001E6F4C" w:rsidRPr="005F1603">
        <w:rPr>
          <w:rFonts w:eastAsiaTheme="minorEastAsia" w:hint="eastAsia"/>
        </w:rPr>
        <w:t>.</w:t>
      </w:r>
      <w:r w:rsidR="007670A0" w:rsidRPr="005F1603">
        <w:rPr>
          <w:rFonts w:eastAsiaTheme="minorEastAsia" w:hint="eastAsia"/>
        </w:rPr>
        <w:t xml:space="preserve"> S</w:t>
      </w:r>
      <w:r w:rsidR="001E6F4C" w:rsidRPr="005F1603">
        <w:rPr>
          <w:rFonts w:eastAsiaTheme="minorEastAsia" w:hint="eastAsia"/>
        </w:rPr>
        <w:t>2</w:t>
      </w:r>
      <w:r w:rsidR="007670A0" w:rsidRPr="005F1603">
        <w:rPr>
          <w:rFonts w:eastAsiaTheme="minorEastAsia" w:hint="eastAsia"/>
        </w:rPr>
        <w:t>)</w:t>
      </w:r>
      <w:r w:rsidRPr="005F1603">
        <w:rPr>
          <w:rFonts w:eastAsiaTheme="minorEastAsia"/>
        </w:rPr>
        <w:t>. These effects are closely related to the treatment of common diseases: analgesia and anti-inflammatory effects are widely used across multiple systems</w:t>
      </w:r>
      <w:r w:rsidRPr="005F1603">
        <w:rPr>
          <w:rFonts w:eastAsiaTheme="minorEastAsia"/>
        </w:rPr>
        <w:fldChar w:fldCharType="begin">
          <w:fldData xml:space="preserve">PEVuZE5vdGU+PENpdGU+PEF1dGhvcj5CYW5uaXN0ZXI8L0F1dGhvcj48WWVhcj4yMDIwPC9ZZWFy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</w:fldData>
        </w:fldChar>
      </w:r>
      <w:r w:rsidR="001E6F4C" w:rsidRPr="005F1603">
        <w:rPr>
          <w:rFonts w:eastAsiaTheme="minorEastAsia"/>
        </w:rPr>
        <w:instrText xml:space="preserve"> ADDIN EN.CITE </w:instrText>
      </w:r>
      <w:r w:rsidR="001E6F4C" w:rsidRPr="005F1603">
        <w:rPr>
          <w:rFonts w:eastAsiaTheme="minorEastAsia"/>
        </w:rPr>
        <w:fldChar w:fldCharType="begin">
          <w:fldData xml:space="preserve">PEVuZE5vdGU+PENpdGU+PEF1dGhvcj5CYW5uaXN0ZXI8L0F1dGhvcj48WWVhcj4yMDIwPC9ZZWFy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</w:fldData>
        </w:fldChar>
      </w:r>
      <w:r w:rsidR="001E6F4C" w:rsidRPr="005F1603">
        <w:rPr>
          <w:rFonts w:eastAsiaTheme="minorEastAsia"/>
        </w:rPr>
        <w:instrText xml:space="preserve"> ADDIN EN.CITE.DATA </w:instrText>
      </w:r>
      <w:r w:rsidR="001E6F4C" w:rsidRPr="005F1603">
        <w:rPr>
          <w:rFonts w:eastAsiaTheme="minorEastAsia"/>
        </w:rPr>
      </w:r>
      <w:r w:rsidR="001E6F4C" w:rsidRPr="005F1603">
        <w:rPr>
          <w:rFonts w:eastAsiaTheme="minorEastAsia"/>
        </w:rPr>
        <w:fldChar w:fldCharType="end"/>
      </w:r>
      <w:r w:rsidRPr="005F1603">
        <w:rPr>
          <w:rFonts w:eastAsiaTheme="minorEastAsia"/>
        </w:rPr>
      </w:r>
      <w:r w:rsidRPr="005F1603">
        <w:rPr>
          <w:rFonts w:eastAsiaTheme="minorEastAsia"/>
        </w:rPr>
        <w:fldChar w:fldCharType="separate"/>
      </w:r>
      <w:r w:rsidR="001E6F4C" w:rsidRPr="005F1603">
        <w:rPr>
          <w:rFonts w:eastAsiaTheme="minorEastAsia"/>
          <w:noProof/>
        </w:rPr>
        <w:t>[11, 12]</w:t>
      </w:r>
      <w:r w:rsidRPr="005F1603">
        <w:rPr>
          <w:rFonts w:eastAsiaTheme="minorEastAsia"/>
        </w:rPr>
        <w:fldChar w:fldCharType="end"/>
      </w:r>
      <w:r w:rsidRPr="005F1603">
        <w:rPr>
          <w:rFonts w:eastAsiaTheme="minorEastAsia"/>
        </w:rPr>
        <w:t>, whereas relieving asthma and eliminating phlegm are characteristic advantages of CM</w:t>
      </w:r>
      <w:r w:rsidR="00D505E8" w:rsidRPr="005F1603">
        <w:rPr>
          <w:rFonts w:eastAsiaTheme="minorEastAsia" w:hint="eastAsia"/>
        </w:rPr>
        <w:t>M</w:t>
      </w:r>
      <w:r w:rsidRPr="005F1603">
        <w:rPr>
          <w:rFonts w:eastAsiaTheme="minorEastAsia"/>
        </w:rPr>
        <w:t xml:space="preserve"> in respiratory disorders</w:t>
      </w:r>
      <w:r w:rsidRPr="005F1603">
        <w:rPr>
          <w:rFonts w:eastAsiaTheme="minorEastAsia"/>
        </w:rPr>
        <w:fldChar w:fldCharType="begin"/>
      </w:r>
      <w:r w:rsidR="001E6F4C" w:rsidRPr="005F1603">
        <w:rPr>
          <w:rFonts w:eastAsiaTheme="minorEastAsia"/>
        </w:rPr>
        <w:instrText xml:space="preserve"> ADDIN EN.CITE &lt;EndNote&gt;&lt;Cite&gt;&lt;Author&gt;Wang&lt;/Author&gt;&lt;Year&gt;2023&lt;/Year&gt;&lt;RecNum&gt;501&lt;/RecNum&gt;&lt;DisplayText&gt;[13]&lt;/DisplayText&gt;&lt;record&gt;&lt;rec-number&gt;501&lt;/rec-number&gt;&lt;foreign-keys&gt;&lt;key app="EN" db-id="pwdd0va06xwzdmes9pfvsrw6dsv0zax2wxa0" timestamp="1762261770"&gt;501&lt;/key&gt;&lt;/foreign-keys&gt;&lt;ref-type name="Journal Article"&gt;17&lt;/ref-type&gt;&lt;contributors&gt;&lt;authors&gt;&lt;author&gt;Wang, J.&lt;/author&gt;&lt;author&gt;Zhou, Y. M.&lt;/author&gt;&lt;author&gt;Zhang, H. L.&lt;/author&gt;&lt;author&gt;Hu, L. H.&lt;/author&gt;&lt;author&gt;Liu, J. T.&lt;/author&gt;&lt;author&gt;Wang, L.&lt;/author&gt;&lt;author&gt;Wang, T. Y.&lt;/author&gt;&lt;author&gt;Zhang, H. Y.&lt;/author&gt;&lt;author&gt;Cong, L. P.&lt;/author&gt;&lt;author&gt;Wang, Q.&lt;/author&gt;&lt;/authors&gt;&lt;/contributors&gt;&lt;titles&gt;&lt;title&gt;Pathogenesis of allergic diseases and implications for therapeutic interventions&lt;/title&gt;&lt;secondary-title&gt;Signal Transduction and Targeted Therapy&lt;/secondary-title&gt;&lt;/titles&gt;&lt;periodical&gt;&lt;full-title&gt;Signal Transduction and Targeted Therapy&lt;/full-title&gt;&lt;/periodical&gt;&lt;volume&gt;8&lt;/volume&gt;&lt;number&gt;1&lt;/number&gt;&lt;dates&gt;&lt;year&gt;2023&lt;/year&gt;&lt;pub-dates&gt;&lt;date&gt;Mar 24&lt;/date&gt;&lt;/pub-dates&gt;&lt;/dates&gt;&lt;isbn&gt;2095-9907&lt;/isbn&gt;&lt;accession-num&gt;WOS:000957369800002&lt;/accession-num&gt;&lt;urls&gt;&lt;related-urls&gt;&lt;url&gt;&amp;lt;Go to ISI&amp;gt;://WOS:000957369800002&lt;/url&gt;&lt;/related-urls&gt;&lt;/urls&gt;&lt;custom7&gt;138&lt;/custom7&gt;&lt;electronic-resource-num&gt;10.1038/s41392-023-01344-4&lt;/electronic-resource-num&gt;&lt;/record&gt;&lt;/Cite&gt;&lt;/EndNote&gt;</w:instrText>
      </w:r>
      <w:r w:rsidRPr="005F1603">
        <w:rPr>
          <w:rFonts w:eastAsiaTheme="minorEastAsia"/>
        </w:rPr>
        <w:fldChar w:fldCharType="separate"/>
      </w:r>
      <w:r w:rsidR="001E6F4C" w:rsidRPr="005F1603">
        <w:rPr>
          <w:rFonts w:eastAsiaTheme="minorEastAsia"/>
          <w:noProof/>
        </w:rPr>
        <w:t>[13]</w:t>
      </w:r>
      <w:r w:rsidRPr="005F1603">
        <w:rPr>
          <w:rFonts w:eastAsiaTheme="minorEastAsia"/>
        </w:rPr>
        <w:fldChar w:fldCharType="end"/>
      </w:r>
      <w:r w:rsidRPr="005F1603">
        <w:rPr>
          <w:rFonts w:eastAsiaTheme="minorEastAsia"/>
        </w:rPr>
        <w:t xml:space="preserve">. Accordingly, these domains have accumulated richer literature and data. By contrast, pharmacological categories such as cholinomimetics (2), </w:t>
      </w:r>
      <w:proofErr w:type="spellStart"/>
      <w:r w:rsidRPr="005F1603">
        <w:rPr>
          <w:rFonts w:eastAsiaTheme="minorEastAsia"/>
        </w:rPr>
        <w:t>pseudoepinephrine</w:t>
      </w:r>
      <w:proofErr w:type="spellEnd"/>
      <w:r w:rsidRPr="005F1603">
        <w:rPr>
          <w:rFonts w:eastAsiaTheme="minorEastAsia"/>
        </w:rPr>
        <w:t xml:space="preserve"> (1), </w:t>
      </w:r>
      <w:proofErr w:type="spellStart"/>
      <w:r w:rsidRPr="005F1603">
        <w:rPr>
          <w:rFonts w:eastAsiaTheme="minorEastAsia"/>
        </w:rPr>
        <w:t>procoagulant</w:t>
      </w:r>
      <w:proofErr w:type="spellEnd"/>
      <w:r w:rsidRPr="005F1603">
        <w:rPr>
          <w:rFonts w:eastAsiaTheme="minorEastAsia"/>
        </w:rPr>
        <w:t xml:space="preserve"> (1), and anti-anemia (3) involve far fewer herbs, possibly reflecting lower clinical demand, methodological limitations, or insufficient experimental evidence.</w:t>
      </w:r>
    </w:p>
    <w:p w14:paraId="140985B7" w14:textId="52B51717" w:rsidR="00774E5F" w:rsidRPr="005F1603" w:rsidRDefault="00774E5F" w:rsidP="00774E5F">
      <w:pPr>
        <w:ind w:firstLine="480"/>
        <w:rPr>
          <w:rFonts w:eastAsiaTheme="minorEastAsia"/>
        </w:rPr>
      </w:pPr>
      <w:r w:rsidRPr="005F1603">
        <w:rPr>
          <w:rFonts w:eastAsiaTheme="minorEastAsia"/>
        </w:rPr>
        <w:t>Among C</w:t>
      </w:r>
      <w:r w:rsidR="00D505E8" w:rsidRPr="005F1603">
        <w:rPr>
          <w:rFonts w:eastAsiaTheme="minorEastAsia" w:hint="eastAsia"/>
        </w:rPr>
        <w:t>M</w:t>
      </w:r>
      <w:r w:rsidRPr="005F1603">
        <w:rPr>
          <w:rFonts w:eastAsiaTheme="minorEastAsia"/>
        </w:rPr>
        <w:t xml:space="preserve">M property categories, herbs for clearing away heat (249) are the most abundant, whereas those for inducing resuscitation (12) are the fewest. Anti-inflammatory activity corresponds to the largest herb set, consistent with our </w:t>
      </w:r>
      <w:proofErr w:type="spellStart"/>
      <w:r w:rsidRPr="005F1603">
        <w:rPr>
          <w:rFonts w:eastAsiaTheme="minorEastAsia"/>
        </w:rPr>
        <w:t>Jaccard</w:t>
      </w:r>
      <w:proofErr w:type="spellEnd"/>
      <w:r w:rsidRPr="005F1603">
        <w:rPr>
          <w:rFonts w:eastAsiaTheme="minorEastAsia"/>
        </w:rPr>
        <w:t xml:space="preserve"> analysis indicating a strong association between clearing away heat and anti-inflammatory effects. In terms of the four Qi, cold and cool herbs (266) slightly outnumber tepidity and hot herbs (215). For the five flavors, bitter herbs (315) predominate, while sour (42) and salty (54) herbs are relatively scarce. Regarding meridian tropism, herbs entering the liver meridian (308) are the most common, whereas those entering the small intestine meridian (21) are the least.</w:t>
      </w:r>
    </w:p>
    <w:p w14:paraId="708E614D" w14:textId="77777777" w:rsidR="000E229E" w:rsidRPr="005F1603" w:rsidRDefault="000E229E" w:rsidP="000E229E">
      <w:pPr>
        <w:ind w:firstLine="480"/>
        <w:rPr>
          <w:rFonts w:eastAsiaTheme="minorEastAsia"/>
        </w:rPr>
      </w:pPr>
      <w:r w:rsidRPr="005F1603">
        <w:rPr>
          <w:noProof/>
          <w:lang w:val="en-IN" w:eastAsia="en-IN"/>
        </w:rPr>
        <w:drawing>
          <wp:inline distT="0" distB="0" distL="0" distR="0" wp14:anchorId="7051A42A" wp14:editId="0713C89C">
            <wp:extent cx="5274310" cy="4396740"/>
            <wp:effectExtent l="0" t="0" r="2540" b="3810"/>
            <wp:docPr id="7914296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396740"/>
                    </a:xfrm>
                    <a:prstGeom prst="rect">
                      <a:avLst/>
                    </a:prstGeom>
                    <a:noFill/>
                    <a:ln>
                      <a:noFill/>
                    </a:ln>
                  </pic:spPr>
                </pic:pic>
              </a:graphicData>
            </a:graphic>
          </wp:inline>
        </w:drawing>
      </w:r>
    </w:p>
    <w:p w14:paraId="2137AF6D" w14:textId="541968CF" w:rsidR="000E229E" w:rsidRPr="005F1603" w:rsidRDefault="000E229E" w:rsidP="00C17B7A">
      <w:pPr>
        <w:ind w:firstLineChars="0" w:firstLine="0"/>
        <w:jc w:val="center"/>
        <w:rPr>
          <w:rFonts w:eastAsiaTheme="minorEastAsia"/>
          <w:sz w:val="21"/>
          <w:szCs w:val="21"/>
        </w:rPr>
      </w:pPr>
      <w:r w:rsidRPr="005F1603">
        <w:rPr>
          <w:rFonts w:eastAsiaTheme="minorEastAsia" w:hint="eastAsia"/>
          <w:sz w:val="21"/>
          <w:szCs w:val="21"/>
        </w:rPr>
        <w:t>Fig</w:t>
      </w:r>
      <w:r w:rsidR="001E6F4C" w:rsidRPr="005F1603">
        <w:rPr>
          <w:rFonts w:eastAsiaTheme="minorEastAsia" w:hint="eastAsia"/>
          <w:sz w:val="21"/>
          <w:szCs w:val="21"/>
        </w:rPr>
        <w:t>.</w:t>
      </w:r>
      <w:r w:rsidRPr="005F1603">
        <w:rPr>
          <w:rFonts w:eastAsiaTheme="minorEastAsia" w:hint="eastAsia"/>
          <w:sz w:val="21"/>
          <w:szCs w:val="21"/>
        </w:rPr>
        <w:t xml:space="preserve"> S</w:t>
      </w:r>
      <w:r w:rsidR="001E6F4C" w:rsidRPr="005F1603">
        <w:rPr>
          <w:rFonts w:eastAsiaTheme="minorEastAsia" w:hint="eastAsia"/>
          <w:sz w:val="21"/>
          <w:szCs w:val="21"/>
        </w:rPr>
        <w:t>2</w:t>
      </w:r>
      <w:r w:rsidRPr="005F1603">
        <w:rPr>
          <w:rFonts w:eastAsiaTheme="minorEastAsia" w:hint="eastAsia"/>
          <w:sz w:val="21"/>
          <w:szCs w:val="21"/>
        </w:rPr>
        <w:t xml:space="preserve"> </w:t>
      </w:r>
      <w:r w:rsidRPr="005F1603">
        <w:rPr>
          <w:rFonts w:eastAsiaTheme="minorEastAsia"/>
          <w:sz w:val="21"/>
          <w:szCs w:val="21"/>
        </w:rPr>
        <w:t>Summary of C</w:t>
      </w:r>
      <w:r w:rsidR="00D505E8" w:rsidRPr="005F1603">
        <w:rPr>
          <w:rFonts w:eastAsiaTheme="minorEastAsia" w:hint="eastAsia"/>
          <w:sz w:val="21"/>
          <w:szCs w:val="21"/>
        </w:rPr>
        <w:t>M</w:t>
      </w:r>
      <w:r w:rsidRPr="005F1603">
        <w:rPr>
          <w:rFonts w:eastAsiaTheme="minorEastAsia"/>
          <w:sz w:val="21"/>
          <w:szCs w:val="21"/>
        </w:rPr>
        <w:t>M properties, pharmacological effects, and efficacies. (A) Distribution of C</w:t>
      </w:r>
      <w:r w:rsidR="00D505E8" w:rsidRPr="005F1603">
        <w:rPr>
          <w:rFonts w:eastAsiaTheme="minorEastAsia" w:hint="eastAsia"/>
          <w:sz w:val="21"/>
          <w:szCs w:val="21"/>
        </w:rPr>
        <w:t>M</w:t>
      </w:r>
      <w:r w:rsidRPr="005F1603">
        <w:rPr>
          <w:rFonts w:eastAsiaTheme="minorEastAsia"/>
          <w:sz w:val="21"/>
          <w:szCs w:val="21"/>
        </w:rPr>
        <w:t xml:space="preserve">M properties by herb count. (B) Distribution of </w:t>
      </w:r>
      <w:r w:rsidR="00D505E8" w:rsidRPr="005F1603">
        <w:rPr>
          <w:rFonts w:eastAsiaTheme="minorEastAsia" w:hint="eastAsia"/>
          <w:sz w:val="21"/>
          <w:szCs w:val="21"/>
        </w:rPr>
        <w:t>CM</w:t>
      </w:r>
      <w:r w:rsidRPr="005F1603">
        <w:rPr>
          <w:rFonts w:eastAsiaTheme="minorEastAsia"/>
          <w:sz w:val="21"/>
          <w:szCs w:val="21"/>
        </w:rPr>
        <w:t>M pharmacological effects by herb count. (C) Distribution of C</w:t>
      </w:r>
      <w:r w:rsidR="00D505E8" w:rsidRPr="005F1603">
        <w:rPr>
          <w:rFonts w:eastAsiaTheme="minorEastAsia" w:hint="eastAsia"/>
          <w:sz w:val="21"/>
          <w:szCs w:val="21"/>
        </w:rPr>
        <w:t>M</w:t>
      </w:r>
      <w:r w:rsidRPr="005F1603">
        <w:rPr>
          <w:rFonts w:eastAsiaTheme="minorEastAsia"/>
          <w:sz w:val="21"/>
          <w:szCs w:val="21"/>
        </w:rPr>
        <w:t>M efficacies by herb count.</w:t>
      </w:r>
    </w:p>
    <w:p w14:paraId="48B55BF4" w14:textId="49F3ECDB" w:rsidR="00F72AAB" w:rsidRPr="005F1603" w:rsidRDefault="00DC1E46" w:rsidP="004157C1">
      <w:pPr>
        <w:pStyle w:val="Heading2"/>
      </w:pPr>
      <w:bookmarkStart w:id="33" w:name="OLE_LINK133"/>
      <w:bookmarkStart w:id="34" w:name="OLE_LINK159"/>
      <w:r w:rsidRPr="005F1603">
        <w:rPr>
          <w:rFonts w:hint="eastAsia"/>
        </w:rPr>
        <w:t>N</w:t>
      </w:r>
      <w:r w:rsidRPr="005F1603">
        <w:t xml:space="preserve">ormalization preserved the overall structure of the pharmacological effect–Chinese </w:t>
      </w:r>
      <w:proofErr w:type="spellStart"/>
      <w:r w:rsidRPr="005F1603">
        <w:t>Materia</w:t>
      </w:r>
      <w:proofErr w:type="spellEnd"/>
      <w:r w:rsidRPr="005F1603">
        <w:t xml:space="preserve"> </w:t>
      </w:r>
      <w:proofErr w:type="spellStart"/>
      <w:r w:rsidRPr="005F1603">
        <w:t>Medica</w:t>
      </w:r>
      <w:proofErr w:type="spellEnd"/>
      <w:r w:rsidRPr="005F1603">
        <w:t xml:space="preserve"> association matrix</w:t>
      </w:r>
    </w:p>
    <w:bookmarkEnd w:id="33"/>
    <w:p w14:paraId="1C32104B" w14:textId="302815BF" w:rsidR="00DC1E46" w:rsidRPr="005F1603" w:rsidRDefault="00DC1E46" w:rsidP="00DC1E46">
      <w:pPr>
        <w:ind w:firstLine="480"/>
        <w:rPr>
          <w:rFonts w:eastAsiaTheme="minorEastAsia"/>
        </w:rPr>
      </w:pPr>
      <w:r w:rsidRPr="005F1603">
        <w:rPr>
          <w:rFonts w:eastAsiaTheme="minorEastAsia"/>
        </w:rPr>
        <w:t xml:space="preserve">Using the 60th percentile of all non-zero Chinese </w:t>
      </w:r>
      <w:proofErr w:type="spellStart"/>
      <w:proofErr w:type="gramStart"/>
      <w:r w:rsidRPr="005F1603">
        <w:rPr>
          <w:rFonts w:eastAsiaTheme="minorEastAsia"/>
        </w:rPr>
        <w:t>Materia</w:t>
      </w:r>
      <w:proofErr w:type="spellEnd"/>
      <w:r w:rsidRPr="005F1603">
        <w:rPr>
          <w:rFonts w:eastAsiaTheme="minorEastAsia"/>
        </w:rPr>
        <w:t xml:space="preserve"> </w:t>
      </w:r>
      <w:proofErr w:type="spellStart"/>
      <w:r w:rsidRPr="005F1603">
        <w:rPr>
          <w:rFonts w:eastAsiaTheme="minorEastAsia"/>
        </w:rPr>
        <w:t>Medica</w:t>
      </w:r>
      <w:proofErr w:type="spellEnd"/>
      <w:r w:rsidRPr="005F1603">
        <w:rPr>
          <w:rFonts w:eastAsiaTheme="minorEastAsia"/>
        </w:rPr>
        <w:t>-wise</w:t>
      </w:r>
      <w:proofErr w:type="gramEnd"/>
      <w:r w:rsidRPr="005F1603">
        <w:rPr>
          <w:rFonts w:eastAsiaTheme="minorEastAsia"/>
        </w:rPr>
        <w:t xml:space="preserve"> proportional scores as the </w:t>
      </w:r>
      <w:proofErr w:type="spellStart"/>
      <w:r w:rsidRPr="005F1603">
        <w:rPr>
          <w:rFonts w:eastAsiaTheme="minorEastAsia"/>
        </w:rPr>
        <w:t>binarization</w:t>
      </w:r>
      <w:proofErr w:type="spellEnd"/>
      <w:r w:rsidRPr="005F1603">
        <w:rPr>
          <w:rFonts w:eastAsiaTheme="minorEastAsia"/>
        </w:rPr>
        <w:t xml:space="preserve"> threshold, the Q60 cutoff was 0.03226. This normalization strategy generated 4,229 positive </w:t>
      </w:r>
      <w:bookmarkStart w:id="35" w:name="OLE_LINK145"/>
      <w:r w:rsidRPr="005F1603">
        <w:rPr>
          <w:rFonts w:eastAsiaTheme="minorEastAsia"/>
        </w:rPr>
        <w:t xml:space="preserve">Chinese </w:t>
      </w:r>
      <w:proofErr w:type="spellStart"/>
      <w:r w:rsidRPr="005F1603">
        <w:rPr>
          <w:rFonts w:eastAsiaTheme="minorEastAsia"/>
        </w:rPr>
        <w:t>Materia</w:t>
      </w:r>
      <w:proofErr w:type="spellEnd"/>
      <w:r w:rsidRPr="005F1603">
        <w:rPr>
          <w:rFonts w:eastAsiaTheme="minorEastAsia"/>
        </w:rPr>
        <w:t xml:space="preserve"> </w:t>
      </w:r>
      <w:proofErr w:type="spellStart"/>
      <w:r w:rsidRPr="005F1603">
        <w:rPr>
          <w:rFonts w:eastAsiaTheme="minorEastAsia"/>
        </w:rPr>
        <w:t>Medica</w:t>
      </w:r>
      <w:bookmarkEnd w:id="35"/>
      <w:proofErr w:type="spellEnd"/>
      <w:r w:rsidRPr="005F1603">
        <w:rPr>
          <w:rFonts w:eastAsiaTheme="minorEastAsia"/>
        </w:rPr>
        <w:t xml:space="preserve">–pharmacological effect associations, which was comparable to the 4,060 positive associations obtained using the original </w:t>
      </w:r>
      <w:proofErr w:type="gramStart"/>
      <w:r w:rsidRPr="005F1603">
        <w:rPr>
          <w:rFonts w:eastAsiaTheme="minorEastAsia"/>
        </w:rPr>
        <w:t>publication count ≥10 criterion</w:t>
      </w:r>
      <w:proofErr w:type="gramEnd"/>
      <w:r w:rsidRPr="005F1603">
        <w:rPr>
          <w:rFonts w:eastAsiaTheme="minorEastAsia"/>
        </w:rPr>
        <w:t>.</w:t>
      </w:r>
    </w:p>
    <w:p w14:paraId="47A7D70D" w14:textId="7A71087A" w:rsidR="00DC1E46" w:rsidRPr="005F1603" w:rsidRDefault="00DC1E46" w:rsidP="00DC1E46">
      <w:pPr>
        <w:ind w:firstLine="480"/>
        <w:rPr>
          <w:rFonts w:eastAsiaTheme="minorEastAsia"/>
        </w:rPr>
      </w:pPr>
      <w:r w:rsidRPr="005F1603">
        <w:rPr>
          <w:rFonts w:eastAsiaTheme="minorEastAsia"/>
        </w:rPr>
        <w:t xml:space="preserve">The normalized matrix showed high consistency with the original binary matrix. At the pharmacological-effect level, the numbers of associated Chinese </w:t>
      </w:r>
      <w:proofErr w:type="spellStart"/>
      <w:r w:rsidRPr="005F1603">
        <w:rPr>
          <w:rFonts w:eastAsiaTheme="minorEastAsia"/>
        </w:rPr>
        <w:t>Materia</w:t>
      </w:r>
      <w:proofErr w:type="spellEnd"/>
      <w:r w:rsidRPr="005F1603">
        <w:rPr>
          <w:rFonts w:eastAsiaTheme="minorEastAsia"/>
        </w:rPr>
        <w:t xml:space="preserve"> </w:t>
      </w:r>
      <w:proofErr w:type="spellStart"/>
      <w:r w:rsidRPr="005F1603">
        <w:rPr>
          <w:rFonts w:eastAsiaTheme="minorEastAsia"/>
        </w:rPr>
        <w:t>Medica</w:t>
      </w:r>
      <w:proofErr w:type="spellEnd"/>
      <w:r w:rsidRPr="005F1603">
        <w:rPr>
          <w:rFonts w:eastAsiaTheme="minorEastAsia"/>
        </w:rPr>
        <w:t xml:space="preserve"> across the 40 pharmacological effects were highly correlated between the two methods, with a Pearson correlation coefficient of 0.9</w:t>
      </w:r>
      <w:r w:rsidR="000C1E40" w:rsidRPr="005F1603">
        <w:rPr>
          <w:rFonts w:eastAsiaTheme="minorEastAsia" w:hint="eastAsia"/>
        </w:rPr>
        <w:t>81</w:t>
      </w:r>
      <w:r w:rsidRPr="005F1603">
        <w:rPr>
          <w:rFonts w:eastAsiaTheme="minorEastAsia" w:hint="eastAsia"/>
        </w:rPr>
        <w:t xml:space="preserve"> (Fig S</w:t>
      </w:r>
      <w:r w:rsidR="001E6F4C" w:rsidRPr="005F1603">
        <w:rPr>
          <w:rFonts w:eastAsiaTheme="minorEastAsia" w:hint="eastAsia"/>
        </w:rPr>
        <w:t>3</w:t>
      </w:r>
      <w:r w:rsidRPr="005F1603">
        <w:rPr>
          <w:rFonts w:eastAsiaTheme="minorEastAsia" w:hint="eastAsia"/>
        </w:rPr>
        <w:t>A)</w:t>
      </w:r>
      <w:r w:rsidRPr="005F1603">
        <w:rPr>
          <w:rFonts w:eastAsiaTheme="minorEastAsia"/>
        </w:rPr>
        <w:t xml:space="preserve">. At the individual Chinese </w:t>
      </w:r>
      <w:proofErr w:type="spellStart"/>
      <w:r w:rsidRPr="005F1603">
        <w:rPr>
          <w:rFonts w:eastAsiaTheme="minorEastAsia"/>
        </w:rPr>
        <w:t>Materia</w:t>
      </w:r>
      <w:proofErr w:type="spellEnd"/>
      <w:r w:rsidRPr="005F1603">
        <w:rPr>
          <w:rFonts w:eastAsiaTheme="minorEastAsia"/>
        </w:rPr>
        <w:t xml:space="preserve"> </w:t>
      </w:r>
      <w:proofErr w:type="spellStart"/>
      <w:r w:rsidRPr="005F1603">
        <w:rPr>
          <w:rFonts w:eastAsiaTheme="minorEastAsia"/>
        </w:rPr>
        <w:t>Medica</w:t>
      </w:r>
      <w:proofErr w:type="spellEnd"/>
      <w:r w:rsidRPr="005F1603">
        <w:rPr>
          <w:rFonts w:eastAsiaTheme="minorEastAsia"/>
        </w:rPr>
        <w:t xml:space="preserve">–pharmacological effect cell level, 21,999 out of 24,640 labels remained unchanged, corresponding to a </w:t>
      </w:r>
      <w:proofErr w:type="gramStart"/>
      <w:r w:rsidRPr="005F1603">
        <w:rPr>
          <w:rFonts w:eastAsiaTheme="minorEastAsia"/>
        </w:rPr>
        <w:t>cell-wise</w:t>
      </w:r>
      <w:proofErr w:type="gramEnd"/>
      <w:r w:rsidRPr="005F1603">
        <w:rPr>
          <w:rFonts w:eastAsiaTheme="minorEastAsia"/>
        </w:rPr>
        <w:t xml:space="preserve"> agreement of 89.3%</w:t>
      </w:r>
      <w:r w:rsidRPr="005F1603">
        <w:rPr>
          <w:rFonts w:eastAsiaTheme="minorEastAsia" w:hint="eastAsia"/>
        </w:rPr>
        <w:t xml:space="preserve"> (Fig S</w:t>
      </w:r>
      <w:r w:rsidR="001E6F4C" w:rsidRPr="005F1603">
        <w:rPr>
          <w:rFonts w:eastAsiaTheme="minorEastAsia" w:hint="eastAsia"/>
        </w:rPr>
        <w:t>3</w:t>
      </w:r>
      <w:r w:rsidRPr="005F1603">
        <w:rPr>
          <w:rFonts w:eastAsiaTheme="minorEastAsia" w:hint="eastAsia"/>
        </w:rPr>
        <w:t>B)</w:t>
      </w:r>
      <w:r w:rsidRPr="005F1603">
        <w:rPr>
          <w:rFonts w:eastAsiaTheme="minorEastAsia"/>
        </w:rPr>
        <w:t>.</w:t>
      </w:r>
    </w:p>
    <w:p w14:paraId="0CF1E458" w14:textId="77777777" w:rsidR="00DC1E46" w:rsidRPr="005F1603" w:rsidRDefault="00DC1E46" w:rsidP="00DC1E46">
      <w:pPr>
        <w:ind w:firstLine="480"/>
        <w:rPr>
          <w:rFonts w:eastAsiaTheme="minorEastAsia"/>
        </w:rPr>
      </w:pPr>
      <w:r w:rsidRPr="005F1603">
        <w:rPr>
          <w:rFonts w:eastAsiaTheme="minorEastAsia"/>
        </w:rPr>
        <w:t xml:space="preserve">These results indicate that </w:t>
      </w:r>
      <w:proofErr w:type="gramStart"/>
      <w:r w:rsidRPr="005F1603">
        <w:rPr>
          <w:rFonts w:eastAsiaTheme="minorEastAsia"/>
        </w:rPr>
        <w:t>herb-wise</w:t>
      </w:r>
      <w:proofErr w:type="gramEnd"/>
      <w:r w:rsidRPr="005F1603">
        <w:rPr>
          <w:rFonts w:eastAsiaTheme="minorEastAsia"/>
        </w:rPr>
        <w:t xml:space="preserve"> normalization mainly modified a subset of boundary associations, while the overall structure and pharmacological-effect coverage pattern of the dataset remained largely consistent with the original publication count–based construction strategy. Therefore, the potential influence of research-volume bias on the overall model construction was considered acceptable.</w:t>
      </w:r>
    </w:p>
    <w:bookmarkEnd w:id="34"/>
    <w:p w14:paraId="7E8C9882" w14:textId="71259549" w:rsidR="00DC1E46" w:rsidRPr="005F1603" w:rsidRDefault="000C1E40" w:rsidP="00DC1E46">
      <w:pPr>
        <w:ind w:firstLineChars="0" w:firstLine="0"/>
        <w:jc w:val="center"/>
        <w:rPr>
          <w:rFonts w:eastAsiaTheme="minorEastAsia"/>
        </w:rPr>
      </w:pPr>
      <w:r w:rsidRPr="005F1603">
        <w:rPr>
          <w:noProof/>
          <w:lang w:val="en-IN" w:eastAsia="en-IN"/>
        </w:rPr>
        <w:drawing>
          <wp:inline distT="0" distB="0" distL="0" distR="0" wp14:anchorId="30F22C27" wp14:editId="0CD9F8B2">
            <wp:extent cx="5274310" cy="2038350"/>
            <wp:effectExtent l="0" t="0" r="2540" b="0"/>
            <wp:docPr id="15859327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038350"/>
                    </a:xfrm>
                    <a:prstGeom prst="rect">
                      <a:avLst/>
                    </a:prstGeom>
                    <a:noFill/>
                    <a:ln>
                      <a:noFill/>
                    </a:ln>
                  </pic:spPr>
                </pic:pic>
              </a:graphicData>
            </a:graphic>
          </wp:inline>
        </w:drawing>
      </w:r>
    </w:p>
    <w:p w14:paraId="5A7D1DAE" w14:textId="64AE69C7" w:rsidR="00DC1E46" w:rsidRPr="005F1603" w:rsidRDefault="00DC1E46" w:rsidP="00C17B7A">
      <w:pPr>
        <w:ind w:firstLineChars="0" w:firstLine="0"/>
        <w:jc w:val="center"/>
        <w:rPr>
          <w:rFonts w:eastAsiaTheme="minorEastAsia"/>
          <w:sz w:val="21"/>
          <w:szCs w:val="21"/>
        </w:rPr>
      </w:pPr>
      <w:r w:rsidRPr="005F1603">
        <w:rPr>
          <w:rFonts w:eastAsiaTheme="minorEastAsia" w:hint="eastAsia"/>
          <w:sz w:val="21"/>
          <w:szCs w:val="21"/>
        </w:rPr>
        <w:t>Fig S</w:t>
      </w:r>
      <w:r w:rsidR="001E6F4C" w:rsidRPr="005F1603">
        <w:rPr>
          <w:rFonts w:eastAsiaTheme="minorEastAsia" w:hint="eastAsia"/>
          <w:sz w:val="21"/>
          <w:szCs w:val="21"/>
        </w:rPr>
        <w:t>3</w:t>
      </w:r>
      <w:r w:rsidRPr="005F1603">
        <w:rPr>
          <w:rFonts w:eastAsiaTheme="minorEastAsia" w:hint="eastAsia"/>
          <w:sz w:val="21"/>
          <w:szCs w:val="21"/>
        </w:rPr>
        <w:t xml:space="preserve">. </w:t>
      </w:r>
      <w:r w:rsidRPr="005F1603">
        <w:rPr>
          <w:rFonts w:eastAsiaTheme="minorEastAsia"/>
          <w:sz w:val="21"/>
          <w:szCs w:val="21"/>
        </w:rPr>
        <w:t xml:space="preserve">Robustness analysis of </w:t>
      </w:r>
      <w:proofErr w:type="gramStart"/>
      <w:r w:rsidRPr="005F1603">
        <w:rPr>
          <w:rFonts w:eastAsiaTheme="minorEastAsia"/>
          <w:sz w:val="21"/>
          <w:szCs w:val="21"/>
        </w:rPr>
        <w:t>herb-wise</w:t>
      </w:r>
      <w:proofErr w:type="gramEnd"/>
      <w:r w:rsidRPr="005F1603">
        <w:rPr>
          <w:rFonts w:eastAsiaTheme="minorEastAsia"/>
          <w:sz w:val="21"/>
          <w:szCs w:val="21"/>
        </w:rPr>
        <w:t xml:space="preserve"> Q60 normalization. (</w:t>
      </w:r>
      <w:r w:rsidRPr="005F1603">
        <w:rPr>
          <w:rFonts w:eastAsiaTheme="minorEastAsia" w:hint="eastAsia"/>
          <w:sz w:val="21"/>
          <w:szCs w:val="21"/>
        </w:rPr>
        <w:t>A</w:t>
      </w:r>
      <w:r w:rsidRPr="005F1603">
        <w:rPr>
          <w:rFonts w:eastAsiaTheme="minorEastAsia"/>
          <w:sz w:val="21"/>
          <w:szCs w:val="21"/>
        </w:rPr>
        <w:t xml:space="preserve">) Pharmacological-effect coverage correlation between the original </w:t>
      </w:r>
      <w:proofErr w:type="gramStart"/>
      <w:r w:rsidRPr="005F1603">
        <w:rPr>
          <w:rFonts w:eastAsiaTheme="minorEastAsia"/>
          <w:sz w:val="21"/>
          <w:szCs w:val="21"/>
        </w:rPr>
        <w:t>publication count ≥10 criterion</w:t>
      </w:r>
      <w:proofErr w:type="gramEnd"/>
      <w:r w:rsidRPr="005F1603">
        <w:rPr>
          <w:rFonts w:eastAsiaTheme="minorEastAsia"/>
          <w:sz w:val="21"/>
          <w:szCs w:val="21"/>
        </w:rPr>
        <w:t xml:space="preserve"> and the Q60-normalized criterion. Each point represents one pharmacological effect. (</w:t>
      </w:r>
      <w:r w:rsidRPr="005F1603">
        <w:rPr>
          <w:rFonts w:eastAsiaTheme="minorEastAsia" w:hint="eastAsia"/>
          <w:sz w:val="21"/>
          <w:szCs w:val="21"/>
        </w:rPr>
        <w:t>B</w:t>
      </w:r>
      <w:r w:rsidRPr="005F1603">
        <w:rPr>
          <w:rFonts w:eastAsiaTheme="minorEastAsia"/>
          <w:sz w:val="21"/>
          <w:szCs w:val="21"/>
        </w:rPr>
        <w:t xml:space="preserve">) Cell-wise agreement </w:t>
      </w:r>
      <w:proofErr w:type="spellStart"/>
      <w:r w:rsidRPr="005F1603">
        <w:rPr>
          <w:rFonts w:eastAsiaTheme="minorEastAsia"/>
          <w:sz w:val="21"/>
          <w:szCs w:val="21"/>
        </w:rPr>
        <w:t>heatmap</w:t>
      </w:r>
      <w:proofErr w:type="spellEnd"/>
      <w:r w:rsidRPr="005F1603">
        <w:rPr>
          <w:rFonts w:eastAsiaTheme="minorEastAsia"/>
          <w:sz w:val="21"/>
          <w:szCs w:val="21"/>
        </w:rPr>
        <w:t xml:space="preserve"> comparing the original and Q60-normalized binary matrices. Green indicates consistent labels and orange indicates inconsistent labels.</w:t>
      </w:r>
    </w:p>
    <w:p w14:paraId="38E27084" w14:textId="77777777" w:rsidR="003B71EE" w:rsidRPr="005F1603" w:rsidRDefault="003B71EE" w:rsidP="003360BE">
      <w:pPr>
        <w:ind w:firstLineChars="0" w:firstLine="0"/>
        <w:rPr>
          <w:rFonts w:eastAsiaTheme="minorEastAsia"/>
        </w:rPr>
      </w:pPr>
    </w:p>
    <w:p w14:paraId="3E4C3008" w14:textId="1FAD1840" w:rsidR="001130AE" w:rsidRPr="005F1603" w:rsidRDefault="009E0D98" w:rsidP="004157C1">
      <w:pPr>
        <w:pStyle w:val="Heading2"/>
      </w:pPr>
      <w:bookmarkStart w:id="36" w:name="OLE_LINK165"/>
      <w:r w:rsidRPr="005F1603">
        <w:t>BA restores lipid-metabolism-related gene expression in the HepG2 lipid-overload model</w:t>
      </w:r>
    </w:p>
    <w:bookmarkEnd w:id="36"/>
    <w:p w14:paraId="7C6B7C7A" w14:textId="7685EBA7" w:rsidR="001E6F4C" w:rsidRPr="005F1603" w:rsidRDefault="001E6F4C" w:rsidP="001E6F4C">
      <w:pPr>
        <w:ind w:firstLine="480"/>
        <w:rPr>
          <w:rFonts w:eastAsiaTheme="minorEastAsia"/>
        </w:rPr>
      </w:pPr>
      <w:r w:rsidRPr="005F1603">
        <w:rPr>
          <w:rFonts w:eastAsiaTheme="minorEastAsia"/>
        </w:rPr>
        <w:t xml:space="preserve">To address this concern, we selected two targets for RT-qPCR validation: FABP1, a key target within our efficacy-driven network, and CYP51A1, which was not included in the network but </w:t>
      </w:r>
      <w:proofErr w:type="gramStart"/>
      <w:r w:rsidRPr="005F1603">
        <w:rPr>
          <w:rFonts w:eastAsiaTheme="minorEastAsia"/>
        </w:rPr>
        <w:t>was selected</w:t>
      </w:r>
      <w:proofErr w:type="gramEnd"/>
      <w:r w:rsidRPr="005F1603">
        <w:rPr>
          <w:rFonts w:eastAsiaTheme="minorEastAsia"/>
        </w:rPr>
        <w:t xml:space="preserve"> as a lipid-metabolism-related downstream gene involved in cholesterol biosynthesis and sterol homeostasis</w:t>
      </w:r>
      <w:r w:rsidRPr="005F1603">
        <w:rPr>
          <w:rFonts w:eastAsiaTheme="minorEastAsia" w:hint="eastAsia"/>
        </w:rPr>
        <w:t xml:space="preserve"> (Fig. S4)</w:t>
      </w:r>
      <w:r w:rsidRPr="005F1603">
        <w:rPr>
          <w:rFonts w:eastAsiaTheme="minorEastAsia"/>
        </w:rPr>
        <w:t xml:space="preserve">. In the oleic acid/palmitic acid-induced HepG2 model, the mRNA expression levels of both </w:t>
      </w:r>
      <w:r w:rsidRPr="005F1603">
        <w:rPr>
          <w:rFonts w:eastAsiaTheme="minorEastAsia"/>
          <w:i/>
          <w:iCs/>
        </w:rPr>
        <w:t>FABP1</w:t>
      </w:r>
      <w:r w:rsidRPr="005F1603">
        <w:rPr>
          <w:rFonts w:eastAsiaTheme="minorEastAsia"/>
        </w:rPr>
        <w:t xml:space="preserve"> and </w:t>
      </w:r>
      <w:r w:rsidRPr="005F1603">
        <w:rPr>
          <w:rFonts w:eastAsiaTheme="minorEastAsia"/>
          <w:i/>
          <w:iCs/>
        </w:rPr>
        <w:t>CYP51A1</w:t>
      </w:r>
      <w:r w:rsidRPr="005F1603">
        <w:rPr>
          <w:rFonts w:eastAsiaTheme="minorEastAsia"/>
        </w:rPr>
        <w:t xml:space="preserve"> </w:t>
      </w:r>
      <w:proofErr w:type="gramStart"/>
      <w:r w:rsidRPr="005F1603">
        <w:rPr>
          <w:rFonts w:eastAsiaTheme="minorEastAsia"/>
        </w:rPr>
        <w:t>were significantly reduced</w:t>
      </w:r>
      <w:proofErr w:type="gramEnd"/>
      <w:r w:rsidRPr="005F1603">
        <w:rPr>
          <w:rFonts w:eastAsiaTheme="minorEastAsia"/>
        </w:rPr>
        <w:t xml:space="preserve">, whereas BA treatment markedly reversed these changes. Previous studies have also reported reduced </w:t>
      </w:r>
      <w:r w:rsidRPr="005F1603">
        <w:rPr>
          <w:rFonts w:eastAsiaTheme="minorEastAsia"/>
          <w:i/>
          <w:iCs/>
        </w:rPr>
        <w:t>FABP1</w:t>
      </w:r>
      <w:r w:rsidRPr="005F1603">
        <w:rPr>
          <w:rFonts w:eastAsiaTheme="minorEastAsia"/>
        </w:rPr>
        <w:t xml:space="preserve"> expression in nonalcoholic fatty liver disease, suggesting that its dysregulation contribute to impaired hepatic fatty-acid handling and </w:t>
      </w:r>
      <w:proofErr w:type="spellStart"/>
      <w:r w:rsidRPr="005F1603">
        <w:rPr>
          <w:rFonts w:eastAsiaTheme="minorEastAsia"/>
        </w:rPr>
        <w:t>lipotoxicity</w:t>
      </w:r>
      <w:proofErr w:type="spellEnd"/>
      <w:r w:rsidRPr="005F1603">
        <w:rPr>
          <w:rFonts w:eastAsiaTheme="minorEastAsia"/>
        </w:rPr>
        <w:t xml:space="preserve">. Therefore, the restoration of </w:t>
      </w:r>
      <w:r w:rsidRPr="005F1603">
        <w:rPr>
          <w:rFonts w:eastAsiaTheme="minorEastAsia"/>
          <w:i/>
          <w:iCs/>
        </w:rPr>
        <w:t xml:space="preserve">FABP1 </w:t>
      </w:r>
      <w:r w:rsidRPr="005F1603">
        <w:rPr>
          <w:rFonts w:eastAsiaTheme="minorEastAsia"/>
        </w:rPr>
        <w:t>expression by BA is biologically consistent with the observed improvement in lipid accumulation</w:t>
      </w:r>
      <w:r w:rsidRPr="005F1603">
        <w:rPr>
          <w:rFonts w:eastAsiaTheme="minorEastAsia"/>
        </w:rPr>
        <w:fldChar w:fldCharType="begin"/>
      </w:r>
      <w:r w:rsidRPr="005F1603">
        <w:rPr>
          <w:rFonts w:eastAsiaTheme="minorEastAsia"/>
        </w:rPr>
        <w:instrText xml:space="preserve"> ADDIN EN.CITE &lt;EndNote&gt;&lt;Cite&gt;&lt;Author&gt;Guzmán&lt;/Author&gt;&lt;Year&gt;2013&lt;/Year&gt;&lt;RecNum&gt;318&lt;/RecNum&gt;&lt;DisplayText&gt;[14]&lt;/DisplayText&gt;&lt;record&gt;&lt;rec-number&gt;318&lt;/rec-number&gt;&lt;foreign-keys&gt;&lt;key app="EN" db-id="adavaetz6zxfdhetatnp0wsgzxv0ewswedta" timestamp="1783820558"&gt;318&lt;/key&gt;&lt;/foreign-keys&gt;&lt;ref-type name="Journal Article"&gt;17&lt;/ref-type&gt;&lt;contributors&gt;&lt;authors&gt;&lt;author&gt;Guzmán, Carla&lt;/author&gt;&lt;author&gt;Benet, Marta&lt;/author&gt;&lt;author&gt;Pisonero-Vaquero, Sandra&lt;/author&gt;&lt;author&gt;Moya, Marta&lt;/author&gt;&lt;author&gt;García-Mediavilla, M Victoria&lt;/author&gt;&lt;author&gt;Martínez-Chantar, M Luz&lt;/author&gt;&lt;author&gt;González-Gallego, Javier&lt;/author&gt;&lt;author&gt;Castell, José Vicente&lt;/author&gt;&lt;author&gt;Sánchez-Campos, Sonia&lt;/author&gt;&lt;author&gt;Jover, Ramiro&lt;/author&gt;&lt;/authors&gt;&lt;/contributors&gt;&lt;titles&gt;&lt;title&gt;The human liver fatty acid binding protein (FABP1) gene is activated by FOXA1 and PPARα; and repressed by C/EBPα: Implications in FABP1 down-regulation in nonalcoholic fatty liver disease&lt;/title&gt;&lt;secondary-title&gt;Biochimica et Biophysica Acta (BBA)-Molecular and Cell Biology of Lipids&lt;/secondary-title&gt;&lt;/titles&gt;&lt;pages&gt;803-818&lt;/pages&gt;&lt;volume&gt;1831&lt;/volume&gt;&lt;number&gt;4&lt;/number&gt;&lt;dates&gt;&lt;year&gt;2013&lt;/year&gt;&lt;/dates&gt;&lt;isbn&gt;1388-1981&lt;/isbn&gt;&lt;urls&gt;&lt;/urls&gt;&lt;/record&gt;&lt;/Cite&gt;&lt;/EndNote&gt;</w:instrText>
      </w:r>
      <w:r w:rsidRPr="005F1603">
        <w:rPr>
          <w:rFonts w:eastAsiaTheme="minorEastAsia"/>
        </w:rPr>
        <w:fldChar w:fldCharType="separate"/>
      </w:r>
      <w:r w:rsidRPr="005F1603">
        <w:rPr>
          <w:rFonts w:eastAsiaTheme="minorEastAsia"/>
          <w:noProof/>
        </w:rPr>
        <w:t>[14]</w:t>
      </w:r>
      <w:r w:rsidRPr="005F1603">
        <w:rPr>
          <w:rFonts w:eastAsiaTheme="minorEastAsia"/>
        </w:rPr>
        <w:fldChar w:fldCharType="end"/>
      </w:r>
      <w:r w:rsidRPr="005F1603">
        <w:rPr>
          <w:rFonts w:eastAsiaTheme="minorEastAsia"/>
        </w:rPr>
        <w:t>.</w:t>
      </w:r>
    </w:p>
    <w:p w14:paraId="42933C52" w14:textId="1035F545" w:rsidR="001E6F4C" w:rsidRPr="005F1603" w:rsidRDefault="001E6F4C" w:rsidP="001E6F4C">
      <w:pPr>
        <w:ind w:firstLine="480"/>
        <w:rPr>
          <w:rFonts w:eastAsiaTheme="minorEastAsia"/>
        </w:rPr>
      </w:pPr>
      <w:r w:rsidRPr="005F1603">
        <w:rPr>
          <w:rFonts w:eastAsiaTheme="minorEastAsia"/>
          <w:i/>
          <w:iCs/>
        </w:rPr>
        <w:t>CYP51A1</w:t>
      </w:r>
      <w:r w:rsidRPr="005F1603">
        <w:rPr>
          <w:rFonts w:eastAsiaTheme="minorEastAsia"/>
        </w:rPr>
        <w:t xml:space="preserve"> encodes </w:t>
      </w:r>
      <w:proofErr w:type="spellStart"/>
      <w:r w:rsidRPr="005F1603">
        <w:rPr>
          <w:rFonts w:eastAsiaTheme="minorEastAsia"/>
        </w:rPr>
        <w:t>lanosterol</w:t>
      </w:r>
      <w:proofErr w:type="spellEnd"/>
      <w:r w:rsidRPr="005F1603">
        <w:rPr>
          <w:rFonts w:eastAsiaTheme="minorEastAsia"/>
        </w:rPr>
        <w:t xml:space="preserve"> 14α-demethylase, an important enzyme involved in cholesterol biosynthesis and the maintenance of sterol homeostasis. Previous studies in HepG2 cells have shown that </w:t>
      </w:r>
      <w:r w:rsidRPr="005F1603">
        <w:rPr>
          <w:rFonts w:eastAsiaTheme="minorEastAsia"/>
          <w:i/>
          <w:iCs/>
        </w:rPr>
        <w:t>CYP51A1</w:t>
      </w:r>
      <w:r w:rsidRPr="005F1603">
        <w:rPr>
          <w:rFonts w:eastAsiaTheme="minorEastAsia"/>
        </w:rPr>
        <w:t xml:space="preserve"> knockout leads to marked accumulation of </w:t>
      </w:r>
      <w:proofErr w:type="spellStart"/>
      <w:r w:rsidRPr="005F1603">
        <w:rPr>
          <w:rFonts w:eastAsiaTheme="minorEastAsia"/>
        </w:rPr>
        <w:t>lanosterol</w:t>
      </w:r>
      <w:proofErr w:type="spellEnd"/>
      <w:r w:rsidRPr="005F1603">
        <w:rPr>
          <w:rFonts w:eastAsiaTheme="minorEastAsia"/>
        </w:rPr>
        <w:t xml:space="preserve"> and related sterol intermediates, accompanied by broad metabolic and transcriptional alterations</w:t>
      </w:r>
      <w:r w:rsidRPr="005F1603">
        <w:rPr>
          <w:rFonts w:eastAsiaTheme="minorEastAsia"/>
        </w:rPr>
        <w:fldChar w:fldCharType="begin"/>
      </w:r>
      <w:r w:rsidRPr="005F1603">
        <w:rPr>
          <w:rFonts w:eastAsiaTheme="minorEastAsia"/>
        </w:rPr>
        <w:instrText xml:space="preserve"> ADDIN EN.CITE &lt;EndNote&gt;&lt;Cite&gt;&lt;Author&gt;Skubic&lt;/Author&gt;&lt;Year&gt;2024&lt;/Year&gt;&lt;RecNum&gt;319&lt;/RecNum&gt;&lt;DisplayText&gt;[15]&lt;/DisplayText&gt;&lt;record&gt;&lt;rec-number&gt;319&lt;/rec-number&gt;&lt;foreign-keys&gt;&lt;key app="EN" db-id="adavaetz6zxfdhetatnp0wsgzxv0ewswedta" timestamp="1783821296"&gt;319&lt;/key&gt;&lt;/foreign-keys&gt;&lt;ref-type name="Journal Article"&gt;17&lt;/ref-type&gt;&lt;contributors&gt;&lt;authors&gt;&lt;author&gt;Skubic, Cene&lt;/author&gt;&lt;author&gt;Trček, Hana&lt;/author&gt;&lt;author&gt;Nassib, Petra&lt;/author&gt;&lt;author&gt;Kreft, Tinkara&lt;/author&gt;&lt;author&gt;Walakira, Andrew&lt;/author&gt;&lt;author&gt;Pohar, Katka&lt;/author&gt;&lt;author&gt;Petek, Sara&lt;/author&gt;&lt;author&gt;Režen, Tadeja&lt;/author&gt;&lt;author&gt;Ihan, Alojz&lt;/author&gt;&lt;author&gt;Rozman, Damjana&lt;/author&gt;&lt;/authors&gt;&lt;/contributors&gt;&lt;titles&gt;&lt;title&gt;Knockouts of CYP51A1, DHCR24, or SC5D from cholesterol synthesis reveal pathways modulated by sterol intermediates&lt;/title&gt;&lt;secondary-title&gt;Iscience&lt;/secondary-title&gt;&lt;/titles&gt;&lt;volume&gt;27&lt;/volume&gt;&lt;number&gt;9&lt;/number&gt;&lt;dates&gt;&lt;year&gt;2024&lt;/year&gt;&lt;/dates&gt;&lt;isbn&gt;2589-0042&lt;/isbn&gt;&lt;urls&gt;&lt;/urls&gt;&lt;/record&gt;&lt;/Cite&gt;&lt;/EndNote&gt;</w:instrText>
      </w:r>
      <w:r w:rsidRPr="005F1603">
        <w:rPr>
          <w:rFonts w:eastAsiaTheme="minorEastAsia"/>
        </w:rPr>
        <w:fldChar w:fldCharType="separate"/>
      </w:r>
      <w:r w:rsidRPr="005F1603">
        <w:rPr>
          <w:rFonts w:eastAsiaTheme="minorEastAsia"/>
          <w:noProof/>
        </w:rPr>
        <w:t>[15]</w:t>
      </w:r>
      <w:r w:rsidRPr="005F1603">
        <w:rPr>
          <w:rFonts w:eastAsiaTheme="minorEastAsia"/>
        </w:rPr>
        <w:fldChar w:fldCharType="end"/>
      </w:r>
      <w:r w:rsidRPr="005F1603">
        <w:rPr>
          <w:rFonts w:eastAsiaTheme="minorEastAsia"/>
        </w:rPr>
        <w:t xml:space="preserve">. Hepatocyte-specific </w:t>
      </w:r>
      <w:r w:rsidRPr="005F1603">
        <w:rPr>
          <w:rFonts w:eastAsiaTheme="minorEastAsia"/>
          <w:i/>
          <w:iCs/>
        </w:rPr>
        <w:t>CYP51A1</w:t>
      </w:r>
      <w:r w:rsidRPr="005F1603">
        <w:rPr>
          <w:rFonts w:eastAsiaTheme="minorEastAsia"/>
        </w:rPr>
        <w:t xml:space="preserve"> knockout has also been reported to reduce cholesterol ester levels, promote sterol precursor accumulation, and induce hepatic inflammation and fibrosis</w:t>
      </w:r>
      <w:r w:rsidRPr="005F1603">
        <w:rPr>
          <w:rFonts w:eastAsiaTheme="minorEastAsia"/>
        </w:rPr>
        <w:fldChar w:fldCharType="begin"/>
      </w:r>
      <w:r w:rsidRPr="005F1603">
        <w:rPr>
          <w:rFonts w:eastAsiaTheme="minorEastAsia"/>
        </w:rPr>
        <w:instrText xml:space="preserve"> ADDIN EN.CITE &lt;EndNote&gt;&lt;Cite&gt;&lt;Author&gt;Lorbek&lt;/Author&gt;&lt;Year&gt;2015&lt;/Year&gt;&lt;RecNum&gt;320&lt;/RecNum&gt;&lt;DisplayText&gt;[16]&lt;/DisplayText&gt;&lt;record&gt;&lt;rec-number&gt;320&lt;/rec-number&gt;&lt;foreign-keys&gt;&lt;key app="EN" db-id="adavaetz6zxfdhetatnp0wsgzxv0ewswedta" timestamp="1783821411"&gt;320&lt;/key&gt;&lt;/foreign-keys&gt;&lt;ref-type name="Journal Article"&gt;17&lt;/ref-type&gt;&lt;contributors&gt;&lt;authors&gt;&lt;author&gt;Lorbek, Gregor&lt;/author&gt;&lt;author&gt;Perše, Martina&lt;/author&gt;&lt;author&gt;Jeruc, Jera&lt;/author&gt;&lt;author&gt;Juvan, Peter&lt;/author&gt;&lt;author&gt;Gutierrez-Mariscal, Francisco M&lt;/author&gt;&lt;author&gt;Lewinska, Monika&lt;/author&gt;&lt;author&gt;Gebhardt, Rolf&lt;/author&gt;&lt;author&gt;Keber, Rok&lt;/author&gt;&lt;author&gt;Horvat, Simon&lt;/author&gt;&lt;author&gt;Björkhem, Ingemar&lt;/author&gt;&lt;/authors&gt;&lt;/contributors&gt;&lt;titles&gt;&lt;title&gt;Lessons from hepatocyte-specific Cyp51 knockout mice: impaired cholesterol synthesis leads to oval cell-driven liver injury&lt;/title&gt;&lt;secondary-title&gt;Scientific reports&lt;/secondary-title&gt;&lt;/titles&gt;&lt;periodical&gt;&lt;full-title&gt;Scientific Reports&lt;/full-title&gt;&lt;abbr-1&gt;Sci. Rep.&lt;/abbr-1&gt;&lt;abbr-2&gt;Sci Rep&lt;/abbr-2&gt;&lt;/periodical&gt;&lt;pages&gt;8777&lt;/pages&gt;&lt;volume&gt;5&lt;/volume&gt;&lt;number&gt;1&lt;/number&gt;&lt;dates&gt;&lt;year&gt;2015&lt;/year&gt;&lt;/dates&gt;&lt;isbn&gt;2045-2322&lt;/isbn&gt;&lt;urls&gt;&lt;/urls&gt;&lt;/record&gt;&lt;/Cite&gt;&lt;/EndNote&gt;</w:instrText>
      </w:r>
      <w:r w:rsidRPr="005F1603">
        <w:rPr>
          <w:rFonts w:eastAsiaTheme="minorEastAsia"/>
        </w:rPr>
        <w:fldChar w:fldCharType="separate"/>
      </w:r>
      <w:r w:rsidRPr="005F1603">
        <w:rPr>
          <w:rFonts w:eastAsiaTheme="minorEastAsia"/>
          <w:noProof/>
        </w:rPr>
        <w:t>[16]</w:t>
      </w:r>
      <w:r w:rsidRPr="005F1603">
        <w:rPr>
          <w:rFonts w:eastAsiaTheme="minorEastAsia"/>
        </w:rPr>
        <w:fldChar w:fldCharType="end"/>
      </w:r>
      <w:r w:rsidRPr="005F1603">
        <w:rPr>
          <w:rFonts w:eastAsiaTheme="minorEastAsia"/>
        </w:rPr>
        <w:t xml:space="preserve">. In addition, downregulation of </w:t>
      </w:r>
      <w:r w:rsidRPr="005F1603">
        <w:rPr>
          <w:rFonts w:eastAsiaTheme="minorEastAsia"/>
          <w:i/>
          <w:iCs/>
        </w:rPr>
        <w:t>CYP51A1</w:t>
      </w:r>
      <w:r w:rsidRPr="005F1603">
        <w:rPr>
          <w:rFonts w:eastAsiaTheme="minorEastAsia"/>
        </w:rPr>
        <w:t xml:space="preserve"> has been observed in a Western diet-induced hepatic steatosis model</w:t>
      </w:r>
      <w:r w:rsidRPr="005F1603">
        <w:rPr>
          <w:rFonts w:eastAsiaTheme="minorEastAsia"/>
        </w:rPr>
        <w:fldChar w:fldCharType="begin"/>
      </w:r>
      <w:r w:rsidRPr="005F1603">
        <w:rPr>
          <w:rFonts w:eastAsiaTheme="minorEastAsia"/>
        </w:rPr>
        <w:instrText xml:space="preserve"> ADDIN EN.CITE &lt;EndNote&gt;&lt;Cite&gt;&lt;Author&gt;Roberts&lt;/Author&gt;&lt;Year&gt;2015&lt;/Year&gt;&lt;RecNum&gt;321&lt;/RecNum&gt;&lt;DisplayText&gt;[17]&lt;/DisplayText&gt;&lt;record&gt;&lt;rec-number&gt;321&lt;/rec-number&gt;&lt;foreign-keys&gt;&lt;key app="EN" db-id="adavaetz6zxfdhetatnp0wsgzxv0ewswedta" timestamp="1783821557"&gt;321&lt;/key&gt;&lt;/foreign-keys&gt;&lt;ref-type name="Journal Article"&gt;17&lt;/ref-type&gt;&lt;contributors&gt;&lt;authors&gt;&lt;author&gt;Roberts, Michael D&lt;/author&gt;&lt;author&gt;Mobley, C Brooks&lt;/author&gt;&lt;author&gt;Toedebush, Ryan G&lt;/author&gt;&lt;author&gt;Heese, Alexander J&lt;/author&gt;&lt;author&gt;Zhu, Conan&lt;/author&gt;&lt;author&gt;Krieger, Anna E&lt;/author&gt;&lt;author&gt;Cruthirds, Clayton L&lt;/author&gt;&lt;author&gt;Lockwood, Christopher M&lt;/author&gt;&lt;author&gt;Hofheins, John C&lt;/author&gt;&lt;author&gt;Wiedmeyer, Charles E&lt;/author&gt;&lt;/authors&gt;&lt;/contributors&gt;&lt;titles&gt;&lt;title&gt;Western diet-induced hepatic steatosis and alterations in the liver transcriptome in adult Brown-Norway rats&lt;/title&gt;&lt;secondary-title&gt;BMC gastroenterology&lt;/secondary-title&gt;&lt;/titles&gt;&lt;periodical&gt;&lt;full-title&gt;BMC Gastroenterology&lt;/full-title&gt;&lt;abbr-1&gt;BMC Gastroenterol.&lt;/abbr-1&gt;&lt;abbr-2&gt;BMC Gastroenterol&lt;/abbr-2&gt;&lt;/periodical&gt;&lt;pages&gt;151&lt;/pages&gt;&lt;volume&gt;15&lt;/volume&gt;&lt;number&gt;1&lt;/number&gt;&lt;dates&gt;&lt;year&gt;2015&lt;/year&gt;&lt;/dates&gt;&lt;isbn&gt;1471-230X&lt;/isbn&gt;&lt;urls&gt;&lt;/urls&gt;&lt;/record&gt;&lt;/Cite&gt;&lt;/EndNote&gt;</w:instrText>
      </w:r>
      <w:r w:rsidRPr="005F1603">
        <w:rPr>
          <w:rFonts w:eastAsiaTheme="minorEastAsia"/>
        </w:rPr>
        <w:fldChar w:fldCharType="separate"/>
      </w:r>
      <w:r w:rsidRPr="005F1603">
        <w:rPr>
          <w:rFonts w:eastAsiaTheme="minorEastAsia"/>
          <w:noProof/>
        </w:rPr>
        <w:t>[17]</w:t>
      </w:r>
      <w:r w:rsidRPr="005F1603">
        <w:rPr>
          <w:rFonts w:eastAsiaTheme="minorEastAsia"/>
        </w:rPr>
        <w:fldChar w:fldCharType="end"/>
      </w:r>
      <w:r w:rsidRPr="005F1603">
        <w:rPr>
          <w:rFonts w:eastAsiaTheme="minorEastAsia"/>
        </w:rPr>
        <w:t>.</w:t>
      </w:r>
    </w:p>
    <w:p w14:paraId="257DF420" w14:textId="77777777" w:rsidR="001E6F4C" w:rsidRPr="005F1603" w:rsidRDefault="001E6F4C" w:rsidP="001E6F4C">
      <w:pPr>
        <w:ind w:firstLine="480"/>
        <w:rPr>
          <w:rFonts w:eastAsiaTheme="minorEastAsia"/>
        </w:rPr>
      </w:pPr>
      <w:r w:rsidRPr="005F1603">
        <w:rPr>
          <w:rFonts w:eastAsiaTheme="minorEastAsia"/>
        </w:rPr>
        <w:t xml:space="preserve">These results indicate that the BA-induced reduction in lipid accumulation </w:t>
      </w:r>
      <w:proofErr w:type="gramStart"/>
      <w:r w:rsidRPr="005F1603">
        <w:rPr>
          <w:rFonts w:eastAsiaTheme="minorEastAsia"/>
        </w:rPr>
        <w:t>was accompanied</w:t>
      </w:r>
      <w:proofErr w:type="gramEnd"/>
      <w:r w:rsidRPr="005F1603">
        <w:rPr>
          <w:rFonts w:eastAsiaTheme="minorEastAsia"/>
        </w:rPr>
        <w:t xml:space="preserve"> by partial restoration of fatty-acid- and sterol-metabolism-related molecular changes, providing preliminary target-level support for the computational predictions.</w:t>
      </w:r>
    </w:p>
    <w:p w14:paraId="6C0B3D66" w14:textId="77777777" w:rsidR="001E6F4C" w:rsidRPr="005F1603" w:rsidRDefault="001E6F4C" w:rsidP="001E6F4C">
      <w:pPr>
        <w:ind w:firstLine="480"/>
        <w:rPr>
          <w:rFonts w:eastAsiaTheme="minorEastAsia"/>
        </w:rPr>
      </w:pPr>
    </w:p>
    <w:p w14:paraId="4863B526" w14:textId="1F9AEA5F" w:rsidR="001130AE" w:rsidRPr="005F1603" w:rsidRDefault="001130AE" w:rsidP="00CA40FC">
      <w:pPr>
        <w:ind w:firstLine="480"/>
        <w:rPr>
          <w:rFonts w:eastAsiaTheme="minorEastAsia"/>
        </w:rPr>
      </w:pPr>
      <w:r w:rsidRPr="005F1603">
        <w:rPr>
          <w:noProof/>
          <w:lang w:val="en-IN" w:eastAsia="en-IN"/>
        </w:rPr>
        <w:drawing>
          <wp:inline distT="0" distB="0" distL="0" distR="0" wp14:anchorId="5128C202" wp14:editId="0451AEB4">
            <wp:extent cx="4248150" cy="2776855"/>
            <wp:effectExtent l="0" t="0" r="0" b="4445"/>
            <wp:docPr id="41665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48150" cy="2776855"/>
                    </a:xfrm>
                    <a:prstGeom prst="rect">
                      <a:avLst/>
                    </a:prstGeom>
                    <a:noFill/>
                    <a:ln>
                      <a:noFill/>
                    </a:ln>
                  </pic:spPr>
                </pic:pic>
              </a:graphicData>
            </a:graphic>
          </wp:inline>
        </w:drawing>
      </w:r>
    </w:p>
    <w:p w14:paraId="65F6691F" w14:textId="27BC5A6A" w:rsidR="001130AE" w:rsidRPr="005F1603" w:rsidRDefault="009E0D98" w:rsidP="00C17B7A">
      <w:pPr>
        <w:ind w:firstLineChars="0" w:firstLine="0"/>
        <w:jc w:val="center"/>
        <w:rPr>
          <w:rFonts w:eastAsiaTheme="minorEastAsia"/>
          <w:sz w:val="21"/>
          <w:szCs w:val="21"/>
        </w:rPr>
      </w:pPr>
      <w:bookmarkStart w:id="37" w:name="OLE_LINK170"/>
      <w:r w:rsidRPr="005F1603">
        <w:rPr>
          <w:rFonts w:eastAsiaTheme="minorEastAsia" w:hint="eastAsia"/>
          <w:sz w:val="21"/>
          <w:szCs w:val="21"/>
        </w:rPr>
        <w:t>Fig S</w:t>
      </w:r>
      <w:r w:rsidR="001E6F4C" w:rsidRPr="005F1603">
        <w:rPr>
          <w:rFonts w:eastAsiaTheme="minorEastAsia" w:hint="eastAsia"/>
          <w:sz w:val="21"/>
          <w:szCs w:val="21"/>
        </w:rPr>
        <w:t>4</w:t>
      </w:r>
      <w:r w:rsidRPr="005F1603">
        <w:rPr>
          <w:rFonts w:eastAsiaTheme="minorEastAsia" w:hint="eastAsia"/>
          <w:sz w:val="21"/>
          <w:szCs w:val="21"/>
        </w:rPr>
        <w:t xml:space="preserve">. </w:t>
      </w:r>
      <w:r w:rsidR="001130AE" w:rsidRPr="005F1603">
        <w:rPr>
          <w:rFonts w:eastAsiaTheme="minorEastAsia"/>
          <w:sz w:val="21"/>
          <w:szCs w:val="21"/>
        </w:rPr>
        <w:t xml:space="preserve">Effects of </w:t>
      </w:r>
      <w:proofErr w:type="spellStart"/>
      <w:r w:rsidR="001130AE" w:rsidRPr="005F1603">
        <w:rPr>
          <w:rFonts w:eastAsiaTheme="minorEastAsia"/>
          <w:sz w:val="21"/>
          <w:szCs w:val="21"/>
        </w:rPr>
        <w:t>bornyl</w:t>
      </w:r>
      <w:proofErr w:type="spellEnd"/>
      <w:r w:rsidR="001130AE" w:rsidRPr="005F1603">
        <w:rPr>
          <w:rFonts w:eastAsiaTheme="minorEastAsia"/>
          <w:sz w:val="21"/>
          <w:szCs w:val="21"/>
        </w:rPr>
        <w:t xml:space="preserve"> acetate on lipid-metabolism-related gene expression in the HepG2 lipid-overload model. </w:t>
      </w:r>
      <w:r w:rsidR="001130AE" w:rsidRPr="005F1603">
        <w:rPr>
          <w:rFonts w:eastAsiaTheme="minorEastAsia" w:hint="eastAsia"/>
          <w:sz w:val="21"/>
          <w:szCs w:val="21"/>
        </w:rPr>
        <w:t xml:space="preserve">(A) </w:t>
      </w:r>
      <w:bookmarkStart w:id="38" w:name="OLE_LINK161"/>
      <w:r w:rsidR="001130AE" w:rsidRPr="005F1603">
        <w:rPr>
          <w:rFonts w:eastAsiaTheme="minorEastAsia"/>
          <w:sz w:val="21"/>
          <w:szCs w:val="21"/>
        </w:rPr>
        <w:t xml:space="preserve">Relative mRNA expression levels of </w:t>
      </w:r>
      <w:bookmarkEnd w:id="38"/>
      <w:r w:rsidR="001130AE" w:rsidRPr="005F1603">
        <w:rPr>
          <w:rFonts w:eastAsiaTheme="minorEastAsia"/>
          <w:sz w:val="21"/>
          <w:szCs w:val="21"/>
        </w:rPr>
        <w:t xml:space="preserve">FABP1 </w:t>
      </w:r>
      <w:r w:rsidR="001130AE" w:rsidRPr="005F1603">
        <w:rPr>
          <w:rFonts w:eastAsiaTheme="minorEastAsia" w:hint="eastAsia"/>
          <w:sz w:val="21"/>
          <w:szCs w:val="21"/>
        </w:rPr>
        <w:t xml:space="preserve">(B) </w:t>
      </w:r>
      <w:r w:rsidR="001130AE" w:rsidRPr="005F1603">
        <w:rPr>
          <w:rFonts w:eastAsiaTheme="minorEastAsia"/>
          <w:sz w:val="21"/>
          <w:szCs w:val="21"/>
        </w:rPr>
        <w:t>Relative mRNA expression levels of CYP51A1. Data are presented as mean ± SD</w:t>
      </w:r>
      <w:r w:rsidR="001130AE" w:rsidRPr="005F1603">
        <w:rPr>
          <w:rFonts w:eastAsiaTheme="minorEastAsia" w:hint="eastAsia"/>
          <w:sz w:val="21"/>
          <w:szCs w:val="21"/>
        </w:rPr>
        <w:t xml:space="preserve">. </w:t>
      </w:r>
      <w:r w:rsidR="001130AE" w:rsidRPr="005F1603">
        <w:rPr>
          <w:rFonts w:eastAsiaTheme="minorEastAsia"/>
          <w:sz w:val="21"/>
          <w:szCs w:val="21"/>
          <w:vertAlign w:val="superscript"/>
        </w:rPr>
        <w:t>#</w:t>
      </w:r>
      <w:r w:rsidR="001130AE" w:rsidRPr="005F1603">
        <w:rPr>
          <w:rFonts w:eastAsiaTheme="minorEastAsia"/>
          <w:i/>
          <w:iCs/>
          <w:sz w:val="21"/>
          <w:szCs w:val="21"/>
        </w:rPr>
        <w:t>P</w:t>
      </w:r>
      <w:r w:rsidR="001130AE" w:rsidRPr="005F1603">
        <w:rPr>
          <w:rFonts w:eastAsiaTheme="minorEastAsia"/>
          <w:sz w:val="21"/>
          <w:szCs w:val="21"/>
        </w:rPr>
        <w:t xml:space="preserve"> &lt; 0.05 versus the control group</w:t>
      </w:r>
      <w:proofErr w:type="gramStart"/>
      <w:r w:rsidR="001130AE" w:rsidRPr="005F1603">
        <w:rPr>
          <w:rFonts w:eastAsiaTheme="minorEastAsia"/>
          <w:sz w:val="21"/>
          <w:szCs w:val="21"/>
        </w:rPr>
        <w:t>;</w:t>
      </w:r>
      <w:proofErr w:type="gramEnd"/>
      <w:r w:rsidR="001130AE" w:rsidRPr="005F1603">
        <w:rPr>
          <w:rFonts w:eastAsiaTheme="minorEastAsia"/>
          <w:sz w:val="21"/>
          <w:szCs w:val="21"/>
        </w:rPr>
        <w:t xml:space="preserve"> *</w:t>
      </w:r>
      <w:r w:rsidR="001130AE" w:rsidRPr="005F1603">
        <w:rPr>
          <w:rFonts w:eastAsiaTheme="minorEastAsia"/>
          <w:i/>
          <w:iCs/>
          <w:sz w:val="21"/>
          <w:szCs w:val="21"/>
        </w:rPr>
        <w:t>P</w:t>
      </w:r>
      <w:r w:rsidR="001130AE" w:rsidRPr="005F1603">
        <w:rPr>
          <w:rFonts w:eastAsiaTheme="minorEastAsia"/>
          <w:sz w:val="21"/>
          <w:szCs w:val="21"/>
        </w:rPr>
        <w:t xml:space="preserve"> &lt; 0.05 versus the model group.</w:t>
      </w:r>
    </w:p>
    <w:bookmarkEnd w:id="37"/>
    <w:p w14:paraId="72F12E5F" w14:textId="026AC8B8" w:rsidR="00F319E7" w:rsidRPr="005F1603" w:rsidRDefault="003B71EE" w:rsidP="004157C1">
      <w:pPr>
        <w:pStyle w:val="Heading2"/>
      </w:pPr>
      <w:r w:rsidRPr="005F1603">
        <w:t xml:space="preserve">Algorithm </w:t>
      </w:r>
      <w:r w:rsidR="009C6C38" w:rsidRPr="005F1603">
        <w:rPr>
          <w:rFonts w:hint="eastAsia"/>
        </w:rPr>
        <w:t>f</w:t>
      </w:r>
      <w:r w:rsidRPr="005F1603">
        <w:t xml:space="preserve">requencies and </w:t>
      </w:r>
      <w:r w:rsidR="009C6C38" w:rsidRPr="005F1603">
        <w:rPr>
          <w:rFonts w:hint="eastAsia"/>
        </w:rPr>
        <w:t>c</w:t>
      </w:r>
      <w:r w:rsidRPr="005F1603">
        <w:t>o-</w:t>
      </w:r>
      <w:r w:rsidR="009C6C38" w:rsidRPr="005F1603">
        <w:rPr>
          <w:rFonts w:hint="eastAsia"/>
        </w:rPr>
        <w:t>o</w:t>
      </w:r>
      <w:r w:rsidRPr="005F1603">
        <w:t xml:space="preserve">ccurrence </w:t>
      </w:r>
      <w:r w:rsidR="009C6C38" w:rsidRPr="005F1603">
        <w:rPr>
          <w:rFonts w:hint="eastAsia"/>
        </w:rPr>
        <w:t>p</w:t>
      </w:r>
      <w:r w:rsidRPr="005F1603">
        <w:t xml:space="preserve">atterns </w:t>
      </w:r>
      <w:r w:rsidR="009C6C38" w:rsidRPr="005F1603">
        <w:rPr>
          <w:rFonts w:hint="eastAsia"/>
        </w:rPr>
        <w:t>r</w:t>
      </w:r>
      <w:r w:rsidRPr="005F1603">
        <w:t xml:space="preserve">evealed by </w:t>
      </w:r>
      <w:proofErr w:type="spellStart"/>
      <w:r w:rsidRPr="005F1603">
        <w:t>AutoML</w:t>
      </w:r>
      <w:proofErr w:type="spellEnd"/>
    </w:p>
    <w:p w14:paraId="15C3DC9F" w14:textId="4EA4D9F0" w:rsidR="00F319E7" w:rsidRPr="005F1603" w:rsidRDefault="009C3659" w:rsidP="00F72AAB">
      <w:pPr>
        <w:ind w:firstLine="480"/>
        <w:rPr>
          <w:rFonts w:eastAsiaTheme="minorEastAsia"/>
        </w:rPr>
      </w:pPr>
      <w:r w:rsidRPr="005F1603">
        <w:rPr>
          <w:rFonts w:eastAsiaTheme="minorEastAsia"/>
        </w:rPr>
        <w:t xml:space="preserve">Frequency analysis of the algorithms </w:t>
      </w:r>
      <w:proofErr w:type="spellStart"/>
      <w:r w:rsidRPr="005F1603">
        <w:rPr>
          <w:rFonts w:eastAsiaTheme="minorEastAsia"/>
        </w:rPr>
        <w:t>revealedthat</w:t>
      </w:r>
      <w:proofErr w:type="spellEnd"/>
      <w:r w:rsidRPr="005F1603">
        <w:rPr>
          <w:rFonts w:eastAsiaTheme="minorEastAsia"/>
        </w:rPr>
        <w:t xml:space="preserve"> FSMIC (15), </w:t>
      </w:r>
      <w:proofErr w:type="spellStart"/>
      <w:r w:rsidRPr="005F1603">
        <w:rPr>
          <w:rFonts w:eastAsiaTheme="minorEastAsia"/>
        </w:rPr>
        <w:t>ClusterCentroids</w:t>
      </w:r>
      <w:proofErr w:type="spellEnd"/>
      <w:r w:rsidRPr="005F1603">
        <w:rPr>
          <w:rFonts w:eastAsiaTheme="minorEastAsia"/>
        </w:rPr>
        <w:t xml:space="preserve"> (15), and KNN (13) were the most frequently used methods for feature selection, resampling, and classification, respectively</w:t>
      </w:r>
      <w:r w:rsidR="00C4284F" w:rsidRPr="005F1603">
        <w:rPr>
          <w:rFonts w:eastAsiaTheme="minorEastAsia" w:hint="eastAsia"/>
        </w:rPr>
        <w:t xml:space="preserve"> (Fig </w:t>
      </w:r>
      <w:r w:rsidR="00857271" w:rsidRPr="005F1603">
        <w:rPr>
          <w:rFonts w:eastAsiaTheme="minorEastAsia" w:hint="eastAsia"/>
        </w:rPr>
        <w:t>S</w:t>
      </w:r>
      <w:r w:rsidR="00C4284F" w:rsidRPr="005F1603">
        <w:rPr>
          <w:rFonts w:eastAsiaTheme="minorEastAsia" w:hint="eastAsia"/>
        </w:rPr>
        <w:t>5A)</w:t>
      </w:r>
      <w:r w:rsidRPr="005F1603">
        <w:rPr>
          <w:rFonts w:eastAsiaTheme="minorEastAsia"/>
        </w:rPr>
        <w:t>. Correspondingly, their pairwise combinations—FSMIC–</w:t>
      </w:r>
      <w:proofErr w:type="spellStart"/>
      <w:r w:rsidRPr="005F1603">
        <w:rPr>
          <w:rFonts w:eastAsiaTheme="minorEastAsia"/>
        </w:rPr>
        <w:t>ClusterCentroids</w:t>
      </w:r>
      <w:proofErr w:type="spellEnd"/>
      <w:r w:rsidRPr="005F1603">
        <w:rPr>
          <w:rFonts w:eastAsiaTheme="minorEastAsia"/>
        </w:rPr>
        <w:t xml:space="preserve">, FSMIC–KNN, and </w:t>
      </w:r>
      <w:proofErr w:type="spellStart"/>
      <w:r w:rsidRPr="005F1603">
        <w:rPr>
          <w:rFonts w:eastAsiaTheme="minorEastAsia"/>
        </w:rPr>
        <w:t>ClusterCentroids</w:t>
      </w:r>
      <w:proofErr w:type="spellEnd"/>
      <w:r w:rsidRPr="005F1603">
        <w:rPr>
          <w:rFonts w:eastAsiaTheme="minorEastAsia"/>
        </w:rPr>
        <w:t>–KNN—were also the most frequent in their respective categories</w:t>
      </w:r>
      <w:r w:rsidRPr="005F1603">
        <w:rPr>
          <w:rFonts w:eastAsiaTheme="minorEastAsia" w:hint="eastAsia"/>
        </w:rPr>
        <w:t xml:space="preserve"> (</w:t>
      </w:r>
      <w:r w:rsidRPr="005F1603">
        <w:rPr>
          <w:rFonts w:eastAsiaTheme="minorEastAsia"/>
        </w:rPr>
        <w:t>Fig</w:t>
      </w:r>
      <w:r w:rsidRPr="005F1603">
        <w:rPr>
          <w:rFonts w:eastAsiaTheme="minorEastAsia" w:hint="eastAsia"/>
        </w:rPr>
        <w:t xml:space="preserve"> </w:t>
      </w:r>
      <w:r w:rsidR="00857271" w:rsidRPr="005F1603">
        <w:rPr>
          <w:rFonts w:eastAsiaTheme="minorEastAsia" w:hint="eastAsia"/>
        </w:rPr>
        <w:t>S</w:t>
      </w:r>
      <w:r w:rsidR="00C4284F" w:rsidRPr="005F1603">
        <w:rPr>
          <w:rFonts w:eastAsiaTheme="minorEastAsia" w:hint="eastAsia"/>
        </w:rPr>
        <w:t>5B</w:t>
      </w:r>
      <w:r w:rsidRPr="005F1603">
        <w:rPr>
          <w:rFonts w:eastAsiaTheme="minorEastAsia" w:hint="eastAsia"/>
        </w:rPr>
        <w:t>)</w:t>
      </w:r>
      <w:r w:rsidRPr="005F1603">
        <w:rPr>
          <w:rFonts w:eastAsiaTheme="minorEastAsia"/>
        </w:rPr>
        <w:t>. Among all algorithmic combinations, the triple combination FSMIC–</w:t>
      </w:r>
      <w:proofErr w:type="spellStart"/>
      <w:r w:rsidRPr="005F1603">
        <w:rPr>
          <w:rFonts w:eastAsiaTheme="minorEastAsia"/>
        </w:rPr>
        <w:t>ClusterCentroids</w:t>
      </w:r>
      <w:proofErr w:type="spellEnd"/>
      <w:r w:rsidRPr="005F1603">
        <w:rPr>
          <w:rFonts w:eastAsiaTheme="minorEastAsia"/>
        </w:rPr>
        <w:t xml:space="preserve">–KNN occurred most frequently (n = 8), underscoring its dominant role in the modeling workflow. </w:t>
      </w:r>
    </w:p>
    <w:p w14:paraId="0AC8F5B3" w14:textId="77777777" w:rsidR="000E229E" w:rsidRPr="005F1603" w:rsidRDefault="000E229E" w:rsidP="000E229E">
      <w:pPr>
        <w:ind w:firstLine="480"/>
        <w:rPr>
          <w:rFonts w:eastAsiaTheme="minorEastAsia"/>
        </w:rPr>
      </w:pPr>
      <w:r w:rsidRPr="005F1603">
        <w:rPr>
          <w:rFonts w:eastAsiaTheme="minorEastAsia"/>
          <w:noProof/>
          <w:lang w:val="en-IN" w:eastAsia="en-IN"/>
        </w:rPr>
        <w:drawing>
          <wp:inline distT="0" distB="0" distL="0" distR="0" wp14:anchorId="776DA17F" wp14:editId="43D9789A">
            <wp:extent cx="5272405" cy="2952750"/>
            <wp:effectExtent l="0" t="0" r="4445" b="0"/>
            <wp:docPr id="395856191" name="图片 3"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图表&#10;&#10;AI 生成的内容可能不正确。"/>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2405" cy="2952750"/>
                    </a:xfrm>
                    <a:prstGeom prst="rect">
                      <a:avLst/>
                    </a:prstGeom>
                    <a:noFill/>
                    <a:ln>
                      <a:noFill/>
                    </a:ln>
                  </pic:spPr>
                </pic:pic>
              </a:graphicData>
            </a:graphic>
          </wp:inline>
        </w:drawing>
      </w:r>
    </w:p>
    <w:p w14:paraId="5A8690CB" w14:textId="77777777" w:rsidR="000E229E" w:rsidRPr="005F1603" w:rsidRDefault="000E229E" w:rsidP="00C17B7A">
      <w:pPr>
        <w:ind w:firstLineChars="0" w:firstLine="0"/>
        <w:jc w:val="center"/>
        <w:rPr>
          <w:rFonts w:eastAsiaTheme="minorEastAsia"/>
          <w:sz w:val="21"/>
          <w:szCs w:val="21"/>
        </w:rPr>
      </w:pPr>
      <w:r w:rsidRPr="005F1603">
        <w:rPr>
          <w:rFonts w:eastAsiaTheme="minorEastAsia"/>
          <w:sz w:val="21"/>
          <w:szCs w:val="21"/>
        </w:rPr>
        <w:t>Fig. S</w:t>
      </w:r>
      <w:r w:rsidRPr="005F1603">
        <w:rPr>
          <w:rFonts w:eastAsiaTheme="minorEastAsia" w:hint="eastAsia"/>
          <w:sz w:val="21"/>
          <w:szCs w:val="21"/>
        </w:rPr>
        <w:t>5.</w:t>
      </w:r>
      <w:r w:rsidRPr="005F1603">
        <w:rPr>
          <w:rFonts w:eastAsiaTheme="minorEastAsia"/>
          <w:sz w:val="21"/>
          <w:szCs w:val="21"/>
        </w:rPr>
        <w:t xml:space="preserve"> Algorithmic component evaluation. (A) Frequency distribution of individual algorithms. (B) Frequency distribution of pairwise algorithm combinations.</w:t>
      </w:r>
    </w:p>
    <w:p w14:paraId="5DE7FD94" w14:textId="77777777" w:rsidR="00651F70" w:rsidRPr="005F1603" w:rsidRDefault="00651F70" w:rsidP="00F72AAB">
      <w:pPr>
        <w:ind w:firstLine="480"/>
        <w:rPr>
          <w:rFonts w:eastAsiaTheme="minorEastAsia"/>
        </w:rPr>
      </w:pPr>
      <w:bookmarkStart w:id="39" w:name="_Hlk213181847"/>
    </w:p>
    <w:p w14:paraId="194A53A8" w14:textId="554CA141" w:rsidR="007670A0" w:rsidRPr="005F1603" w:rsidRDefault="00C33654" w:rsidP="004157C1">
      <w:pPr>
        <w:pStyle w:val="Heading2"/>
      </w:pPr>
      <w:bookmarkStart w:id="40" w:name="OLE_LINK134"/>
      <w:bookmarkStart w:id="41" w:name="OLE_LINK151"/>
      <w:bookmarkStart w:id="42" w:name="OLE_LINK132"/>
      <w:r w:rsidRPr="005F1603">
        <w:t>Efficacy-guided pathway prioritization beyond the funnel effect</w:t>
      </w:r>
    </w:p>
    <w:bookmarkEnd w:id="40"/>
    <w:p w14:paraId="6D629660" w14:textId="018D3E25" w:rsidR="00651F70" w:rsidRPr="005F1603" w:rsidRDefault="00651F70" w:rsidP="00F72AAB">
      <w:pPr>
        <w:ind w:firstLine="480"/>
        <w:rPr>
          <w:rFonts w:eastAsiaTheme="minorEastAsia"/>
        </w:rPr>
      </w:pPr>
      <w:r w:rsidRPr="005F1603">
        <w:rPr>
          <w:rFonts w:eastAsiaTheme="minorEastAsia"/>
        </w:rPr>
        <w:t xml:space="preserve">KEGG enrichment further showed that lipid-related pathways </w:t>
      </w:r>
      <w:proofErr w:type="gramStart"/>
      <w:r w:rsidRPr="005F1603">
        <w:rPr>
          <w:rFonts w:eastAsiaTheme="minorEastAsia"/>
        </w:rPr>
        <w:t>were preferentially ranked</w:t>
      </w:r>
      <w:proofErr w:type="gramEnd"/>
      <w:r w:rsidRPr="005F1603">
        <w:rPr>
          <w:rFonts w:eastAsiaTheme="minorEastAsia"/>
        </w:rPr>
        <w:t xml:space="preserve"> in the dissipating-dampness efficacy network compared with same-size random compound networks. Lipid and atherosclerosis, arachidonic acid metabolism, linoleic acid metabolism, and fluid shear stress and atherosclerosis all ranked within the top 20 pathways in the efficacy-driven network and showed better percentile rankings than the random-network average (Supplementary Fig. S</w:t>
      </w:r>
      <w:r w:rsidR="00C4284F" w:rsidRPr="005F1603">
        <w:rPr>
          <w:rFonts w:eastAsiaTheme="minorEastAsia" w:hint="eastAsia"/>
        </w:rPr>
        <w:t>6</w:t>
      </w:r>
      <w:r w:rsidRPr="005F1603">
        <w:rPr>
          <w:rFonts w:eastAsiaTheme="minorEastAsia"/>
        </w:rPr>
        <w:t>).</w:t>
      </w:r>
    </w:p>
    <w:bookmarkEnd w:id="41"/>
    <w:p w14:paraId="51853E4E" w14:textId="0D2DBF5F" w:rsidR="00651F70" w:rsidRPr="005F1603" w:rsidRDefault="00651F70" w:rsidP="00C17B7A">
      <w:pPr>
        <w:ind w:firstLineChars="0" w:firstLine="0"/>
        <w:jc w:val="center"/>
        <w:rPr>
          <w:rFonts w:eastAsiaTheme="minorEastAsia"/>
          <w:sz w:val="21"/>
          <w:szCs w:val="21"/>
        </w:rPr>
      </w:pPr>
      <w:r w:rsidRPr="005F1603">
        <w:rPr>
          <w:noProof/>
          <w:lang w:val="en-IN" w:eastAsia="en-IN"/>
        </w:rPr>
        <w:drawing>
          <wp:inline distT="0" distB="0" distL="0" distR="0" wp14:anchorId="074ACCDA" wp14:editId="5D25D8EB">
            <wp:extent cx="5274310" cy="5923915"/>
            <wp:effectExtent l="0" t="0" r="2540" b="635"/>
            <wp:docPr id="816000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5923915"/>
                    </a:xfrm>
                    <a:prstGeom prst="rect">
                      <a:avLst/>
                    </a:prstGeom>
                    <a:noFill/>
                    <a:ln>
                      <a:noFill/>
                    </a:ln>
                  </pic:spPr>
                </pic:pic>
              </a:graphicData>
            </a:graphic>
          </wp:inline>
        </w:drawing>
      </w:r>
      <w:r w:rsidRPr="005F1603">
        <w:rPr>
          <w:rFonts w:eastAsiaTheme="minorEastAsia"/>
          <w:sz w:val="21"/>
          <w:szCs w:val="21"/>
        </w:rPr>
        <w:t>Fig. S</w:t>
      </w:r>
      <w:r w:rsidR="00AE499C" w:rsidRPr="005F1603">
        <w:rPr>
          <w:rFonts w:eastAsiaTheme="minorEastAsia" w:hint="eastAsia"/>
          <w:sz w:val="21"/>
          <w:szCs w:val="21"/>
        </w:rPr>
        <w:t>6</w:t>
      </w:r>
      <w:r w:rsidRPr="005F1603">
        <w:rPr>
          <w:rFonts w:eastAsiaTheme="minorEastAsia"/>
          <w:sz w:val="21"/>
          <w:szCs w:val="21"/>
        </w:rPr>
        <w:t>. KEGG enrichment and random-network comparison of lipid-related pathways in the dissipating-dampness efficacy network.</w:t>
      </w:r>
      <w:r w:rsidRPr="005F1603">
        <w:rPr>
          <w:rFonts w:eastAsiaTheme="minorEastAsia" w:hint="eastAsia"/>
          <w:sz w:val="21"/>
          <w:szCs w:val="21"/>
        </w:rPr>
        <w:t xml:space="preserve"> </w:t>
      </w:r>
      <w:r w:rsidR="00C4284F" w:rsidRPr="005F1603">
        <w:rPr>
          <w:rFonts w:eastAsiaTheme="minorEastAsia" w:hint="eastAsia"/>
          <w:sz w:val="21"/>
          <w:szCs w:val="21"/>
        </w:rPr>
        <w:t>(</w:t>
      </w:r>
      <w:r w:rsidRPr="005F1603">
        <w:rPr>
          <w:rFonts w:eastAsiaTheme="minorEastAsia"/>
          <w:sz w:val="21"/>
          <w:szCs w:val="21"/>
        </w:rPr>
        <w:t>A</w:t>
      </w:r>
      <w:r w:rsidR="00C4284F" w:rsidRPr="005F1603">
        <w:rPr>
          <w:rFonts w:eastAsiaTheme="minorEastAsia" w:hint="eastAsia"/>
          <w:sz w:val="21"/>
          <w:szCs w:val="21"/>
        </w:rPr>
        <w:t>)</w:t>
      </w:r>
      <w:r w:rsidRPr="005F1603">
        <w:rPr>
          <w:rFonts w:eastAsiaTheme="minorEastAsia"/>
          <w:sz w:val="21"/>
          <w:szCs w:val="21"/>
        </w:rPr>
        <w:t xml:space="preserve"> Top 20 KEGG pathways enriched in the efficacy network of NRR.</w:t>
      </w:r>
      <w:r w:rsidR="00A33B1E" w:rsidRPr="005F1603">
        <w:rPr>
          <w:rFonts w:eastAsiaTheme="minorEastAsia" w:hint="eastAsia"/>
          <w:sz w:val="21"/>
          <w:szCs w:val="21"/>
        </w:rPr>
        <w:t xml:space="preserve"> </w:t>
      </w:r>
      <w:r w:rsidR="00C4284F" w:rsidRPr="005F1603">
        <w:rPr>
          <w:rFonts w:eastAsiaTheme="minorEastAsia" w:hint="eastAsia"/>
          <w:sz w:val="21"/>
          <w:szCs w:val="21"/>
        </w:rPr>
        <w:t>(</w:t>
      </w:r>
      <w:r w:rsidRPr="005F1603">
        <w:rPr>
          <w:rFonts w:eastAsiaTheme="minorEastAsia"/>
          <w:sz w:val="21"/>
          <w:szCs w:val="21"/>
        </w:rPr>
        <w:t>B</w:t>
      </w:r>
      <w:r w:rsidR="00C4284F" w:rsidRPr="005F1603">
        <w:rPr>
          <w:rFonts w:eastAsiaTheme="minorEastAsia" w:hint="eastAsia"/>
          <w:sz w:val="21"/>
          <w:szCs w:val="21"/>
        </w:rPr>
        <w:t>)</w:t>
      </w:r>
      <w:r w:rsidRPr="005F1603">
        <w:rPr>
          <w:rFonts w:eastAsiaTheme="minorEastAsia"/>
          <w:sz w:val="21"/>
          <w:szCs w:val="21"/>
        </w:rPr>
        <w:t xml:space="preserve"> Percentile ranking comparison of the four lipid-related pathways between the efficacy-driven network and same-size random compound networks.</w:t>
      </w:r>
    </w:p>
    <w:p w14:paraId="5F9342D3" w14:textId="4FCAB81E" w:rsidR="00651F70" w:rsidRPr="005F1603" w:rsidRDefault="002075BF" w:rsidP="004157C1">
      <w:pPr>
        <w:pStyle w:val="Heading2"/>
      </w:pPr>
      <w:bookmarkStart w:id="43" w:name="OLE_LINK48"/>
      <w:bookmarkEnd w:id="42"/>
      <w:r w:rsidRPr="005F1603">
        <w:t>Non-cytotoxic concentration screening</w:t>
      </w:r>
    </w:p>
    <w:p w14:paraId="6291EE72" w14:textId="16174988" w:rsidR="00DC1EB6" w:rsidRPr="005F1603" w:rsidRDefault="00651F70" w:rsidP="00CA40FC">
      <w:pPr>
        <w:ind w:firstLine="480"/>
        <w:rPr>
          <w:rFonts w:eastAsiaTheme="minorEastAsia"/>
        </w:rPr>
      </w:pPr>
      <w:bookmarkStart w:id="44" w:name="OLE_LINK150"/>
      <w:r w:rsidRPr="005F1603">
        <w:rPr>
          <w:rFonts w:eastAsiaTheme="minorEastAsia"/>
        </w:rPr>
        <w:t>The CCK-8 assay</w:t>
      </w:r>
      <w:r w:rsidRPr="005F1603">
        <w:rPr>
          <w:rFonts w:eastAsiaTheme="minorEastAsia" w:hint="eastAsia"/>
        </w:rPr>
        <w:t xml:space="preserve"> (Fig S</w:t>
      </w:r>
      <w:r w:rsidR="00C4284F" w:rsidRPr="005F1603">
        <w:rPr>
          <w:rFonts w:eastAsiaTheme="minorEastAsia" w:hint="eastAsia"/>
        </w:rPr>
        <w:t>7</w:t>
      </w:r>
      <w:r w:rsidRPr="005F1603">
        <w:rPr>
          <w:rFonts w:eastAsiaTheme="minorEastAsia" w:hint="eastAsia"/>
        </w:rPr>
        <w:t>)</w:t>
      </w:r>
      <w:r w:rsidRPr="005F1603">
        <w:rPr>
          <w:rFonts w:eastAsiaTheme="minorEastAsia"/>
        </w:rPr>
        <w:t xml:space="preserve"> showed that </w:t>
      </w:r>
      <w:proofErr w:type="spellStart"/>
      <w:r w:rsidRPr="005F1603">
        <w:rPr>
          <w:rFonts w:eastAsiaTheme="minorEastAsia"/>
          <w:i/>
          <w:iCs/>
        </w:rPr>
        <w:t>Notopterygii</w:t>
      </w:r>
      <w:proofErr w:type="spellEnd"/>
      <w:r w:rsidRPr="005F1603">
        <w:rPr>
          <w:rFonts w:eastAsiaTheme="minorEastAsia"/>
          <w:i/>
          <w:iCs/>
        </w:rPr>
        <w:t xml:space="preserve"> </w:t>
      </w:r>
      <w:proofErr w:type="spellStart"/>
      <w:r w:rsidRPr="005F1603">
        <w:rPr>
          <w:rFonts w:eastAsiaTheme="minorEastAsia"/>
          <w:i/>
          <w:iCs/>
        </w:rPr>
        <w:t>Rhizoma</w:t>
      </w:r>
      <w:proofErr w:type="spellEnd"/>
      <w:r w:rsidRPr="005F1603">
        <w:rPr>
          <w:rFonts w:eastAsiaTheme="minorEastAsia"/>
          <w:i/>
          <w:iCs/>
        </w:rPr>
        <w:t xml:space="preserve"> </w:t>
      </w:r>
      <w:proofErr w:type="gramStart"/>
      <w:r w:rsidRPr="005F1603">
        <w:rPr>
          <w:rFonts w:eastAsiaTheme="minorEastAsia"/>
          <w:i/>
          <w:iCs/>
        </w:rPr>
        <w:t>et</w:t>
      </w:r>
      <w:proofErr w:type="gramEnd"/>
      <w:r w:rsidRPr="005F1603">
        <w:rPr>
          <w:rFonts w:eastAsiaTheme="minorEastAsia"/>
          <w:i/>
          <w:iCs/>
        </w:rPr>
        <w:t xml:space="preserve"> Radix</w:t>
      </w:r>
      <w:r w:rsidRPr="005F1603">
        <w:rPr>
          <w:rFonts w:eastAsiaTheme="minorEastAsia"/>
        </w:rPr>
        <w:t xml:space="preserve"> extract (NRRE) was non-toxic at concentrations up to 312.5 </w:t>
      </w:r>
      <w:proofErr w:type="spellStart"/>
      <w:r w:rsidRPr="005F1603">
        <w:rPr>
          <w:rFonts w:eastAsiaTheme="minorEastAsia"/>
        </w:rPr>
        <w:t>μg</w:t>
      </w:r>
      <w:proofErr w:type="spellEnd"/>
      <w:r w:rsidRPr="005F1603">
        <w:rPr>
          <w:rFonts w:eastAsiaTheme="minorEastAsia"/>
        </w:rPr>
        <w:t xml:space="preserve">/mL, and that 5-geranoxy-7-methoxycoumarin (GMOC), </w:t>
      </w:r>
      <w:proofErr w:type="spellStart"/>
      <w:r w:rsidRPr="005F1603">
        <w:rPr>
          <w:rFonts w:eastAsiaTheme="minorEastAsia"/>
        </w:rPr>
        <w:t>alloisoimperatorin</w:t>
      </w:r>
      <w:proofErr w:type="spellEnd"/>
      <w:r w:rsidRPr="005F1603">
        <w:rPr>
          <w:rFonts w:eastAsiaTheme="minorEastAsia"/>
        </w:rPr>
        <w:t xml:space="preserve"> (AIP), and acetyl </w:t>
      </w:r>
      <w:proofErr w:type="spellStart"/>
      <w:r w:rsidRPr="005F1603">
        <w:rPr>
          <w:rFonts w:eastAsiaTheme="minorEastAsia"/>
        </w:rPr>
        <w:t>borneol</w:t>
      </w:r>
      <w:proofErr w:type="spellEnd"/>
      <w:r w:rsidRPr="005F1603">
        <w:rPr>
          <w:rFonts w:eastAsiaTheme="minorEastAsia"/>
        </w:rPr>
        <w:t xml:space="preserve"> (BA) were non-toxic at concentrations up to 125 </w:t>
      </w:r>
      <w:proofErr w:type="spellStart"/>
      <w:r w:rsidRPr="005F1603">
        <w:rPr>
          <w:rFonts w:eastAsiaTheme="minorEastAsia"/>
        </w:rPr>
        <w:t>μM</w:t>
      </w:r>
      <w:proofErr w:type="spellEnd"/>
      <w:r w:rsidRPr="005F1603">
        <w:rPr>
          <w:rFonts w:eastAsiaTheme="minorEastAsia"/>
        </w:rPr>
        <w:t xml:space="preserve">. These concentrations </w:t>
      </w:r>
      <w:proofErr w:type="gramStart"/>
      <w:r w:rsidRPr="005F1603">
        <w:rPr>
          <w:rFonts w:eastAsiaTheme="minorEastAsia"/>
        </w:rPr>
        <w:t>were therefore selected</w:t>
      </w:r>
      <w:proofErr w:type="gramEnd"/>
      <w:r w:rsidRPr="005F1603">
        <w:rPr>
          <w:rFonts w:eastAsiaTheme="minorEastAsia"/>
        </w:rPr>
        <w:t xml:space="preserve"> for subsequent cell treatment experiments.</w:t>
      </w:r>
      <w:bookmarkEnd w:id="39"/>
      <w:bookmarkEnd w:id="44"/>
    </w:p>
    <w:p w14:paraId="62F1EF71" w14:textId="30353AB0" w:rsidR="00E0187C" w:rsidRPr="005F1603" w:rsidRDefault="00E0187C" w:rsidP="00CA40FC">
      <w:pPr>
        <w:ind w:firstLine="480"/>
        <w:rPr>
          <w:rFonts w:eastAsiaTheme="minorEastAsia"/>
        </w:rPr>
      </w:pPr>
      <w:r w:rsidRPr="005F1603">
        <w:rPr>
          <w:noProof/>
          <w:lang w:val="en-IN" w:eastAsia="en-IN"/>
        </w:rPr>
        <w:drawing>
          <wp:inline distT="0" distB="0" distL="0" distR="0" wp14:anchorId="051937D9" wp14:editId="3380455E">
            <wp:extent cx="5272496" cy="1724025"/>
            <wp:effectExtent l="0" t="0" r="4445" b="0"/>
            <wp:docPr id="2299974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7069" b="40294"/>
                    <a:stretch>
                      <a:fillRect/>
                    </a:stretch>
                  </pic:blipFill>
                  <pic:spPr bwMode="auto">
                    <a:xfrm>
                      <a:off x="0" y="0"/>
                      <a:ext cx="5274310" cy="1724618"/>
                    </a:xfrm>
                    <a:prstGeom prst="rect">
                      <a:avLst/>
                    </a:prstGeom>
                    <a:noFill/>
                    <a:ln>
                      <a:noFill/>
                    </a:ln>
                    <a:extLst>
                      <a:ext uri="{53640926-AAD7-44D8-BBD7-CCE9431645EC}">
                        <a14:shadowObscured xmlns:a14="http://schemas.microsoft.com/office/drawing/2010/main"/>
                      </a:ext>
                    </a:extLst>
                  </pic:spPr>
                </pic:pic>
              </a:graphicData>
            </a:graphic>
          </wp:inline>
        </w:drawing>
      </w:r>
    </w:p>
    <w:p w14:paraId="5159BFE5" w14:textId="77777777" w:rsidR="00E0187C" w:rsidRPr="005F1603" w:rsidRDefault="00E0187C" w:rsidP="00C17B7A">
      <w:pPr>
        <w:ind w:firstLineChars="0" w:firstLine="0"/>
        <w:jc w:val="center"/>
        <w:rPr>
          <w:rFonts w:eastAsiaTheme="minorEastAsia"/>
          <w:sz w:val="21"/>
          <w:szCs w:val="21"/>
        </w:rPr>
      </w:pPr>
      <w:r w:rsidRPr="005F1603">
        <w:rPr>
          <w:rFonts w:eastAsiaTheme="minorEastAsia" w:hint="eastAsia"/>
          <w:sz w:val="21"/>
          <w:szCs w:val="21"/>
        </w:rPr>
        <w:t xml:space="preserve">Fig S7 </w:t>
      </w:r>
      <w:r w:rsidRPr="005F1603">
        <w:rPr>
          <w:rFonts w:eastAsiaTheme="minorEastAsia"/>
          <w:sz w:val="21"/>
          <w:szCs w:val="21"/>
        </w:rPr>
        <w:t xml:space="preserve">Cell viability of </w:t>
      </w:r>
      <w:r w:rsidRPr="005F1603">
        <w:rPr>
          <w:rFonts w:eastAsiaTheme="minorEastAsia"/>
          <w:i/>
          <w:iCs/>
          <w:sz w:val="21"/>
          <w:szCs w:val="21"/>
        </w:rPr>
        <w:t>HepG2</w:t>
      </w:r>
      <w:r w:rsidRPr="005F1603">
        <w:rPr>
          <w:rFonts w:eastAsiaTheme="minorEastAsia"/>
          <w:sz w:val="21"/>
          <w:szCs w:val="21"/>
        </w:rPr>
        <w:t xml:space="preserve"> cells treated with NR</w:t>
      </w:r>
      <w:r w:rsidRPr="005F1603">
        <w:rPr>
          <w:rFonts w:eastAsiaTheme="minorEastAsia" w:hint="eastAsia"/>
          <w:sz w:val="21"/>
          <w:szCs w:val="21"/>
        </w:rPr>
        <w:t>RE</w:t>
      </w:r>
      <w:r w:rsidRPr="005F1603">
        <w:rPr>
          <w:rFonts w:eastAsiaTheme="minorEastAsia"/>
          <w:sz w:val="21"/>
          <w:szCs w:val="21"/>
        </w:rPr>
        <w:t>, AIP, BA, and GMOC</w:t>
      </w:r>
      <w:r w:rsidRPr="005F1603">
        <w:rPr>
          <w:rFonts w:eastAsiaTheme="minorEastAsia" w:hint="eastAsia"/>
          <w:sz w:val="21"/>
          <w:szCs w:val="21"/>
        </w:rPr>
        <w:t xml:space="preserve">. </w:t>
      </w:r>
      <w:r w:rsidRPr="005F1603">
        <w:rPr>
          <w:rFonts w:eastAsiaTheme="minorEastAsia"/>
          <w:sz w:val="21"/>
          <w:szCs w:val="21"/>
        </w:rPr>
        <w:t xml:space="preserve">(A) Cell viability of HepG2 cells treated with NRRE at 19.53–625 </w:t>
      </w:r>
      <w:proofErr w:type="spellStart"/>
      <w:r w:rsidRPr="005F1603">
        <w:rPr>
          <w:rFonts w:eastAsiaTheme="minorEastAsia"/>
          <w:sz w:val="21"/>
          <w:szCs w:val="21"/>
        </w:rPr>
        <w:t>μg</w:t>
      </w:r>
      <w:proofErr w:type="spellEnd"/>
      <w:r w:rsidRPr="005F1603">
        <w:rPr>
          <w:rFonts w:eastAsiaTheme="minorEastAsia"/>
          <w:sz w:val="21"/>
          <w:szCs w:val="21"/>
        </w:rPr>
        <w:t>/</w:t>
      </w:r>
      <w:proofErr w:type="spellStart"/>
      <w:r w:rsidRPr="005F1603">
        <w:rPr>
          <w:rFonts w:eastAsiaTheme="minorEastAsia"/>
          <w:sz w:val="21"/>
          <w:szCs w:val="21"/>
        </w:rPr>
        <w:t>mL.</w:t>
      </w:r>
      <w:proofErr w:type="spellEnd"/>
      <w:r w:rsidRPr="005F1603">
        <w:rPr>
          <w:rFonts w:eastAsiaTheme="minorEastAsia"/>
          <w:sz w:val="21"/>
          <w:szCs w:val="21"/>
        </w:rPr>
        <w:t xml:space="preserve"> (B) Cell viability of HepG2 cells treated with AIP at 7.81–250 </w:t>
      </w:r>
      <w:proofErr w:type="spellStart"/>
      <w:r w:rsidRPr="005F1603">
        <w:rPr>
          <w:rFonts w:eastAsiaTheme="minorEastAsia"/>
          <w:sz w:val="21"/>
          <w:szCs w:val="21"/>
        </w:rPr>
        <w:t>μM</w:t>
      </w:r>
      <w:proofErr w:type="spellEnd"/>
      <w:r w:rsidRPr="005F1603">
        <w:rPr>
          <w:rFonts w:eastAsiaTheme="minorEastAsia"/>
          <w:sz w:val="21"/>
          <w:szCs w:val="21"/>
        </w:rPr>
        <w:t xml:space="preserve">. (C) Cell viability of HepG2 cells treated with BA at 7.81–250 </w:t>
      </w:r>
      <w:proofErr w:type="spellStart"/>
      <w:r w:rsidRPr="005F1603">
        <w:rPr>
          <w:rFonts w:eastAsiaTheme="minorEastAsia"/>
          <w:sz w:val="21"/>
          <w:szCs w:val="21"/>
        </w:rPr>
        <w:t>μM</w:t>
      </w:r>
      <w:proofErr w:type="spellEnd"/>
      <w:r w:rsidRPr="005F1603">
        <w:rPr>
          <w:rFonts w:eastAsiaTheme="minorEastAsia"/>
          <w:sz w:val="21"/>
          <w:szCs w:val="21"/>
        </w:rPr>
        <w:t xml:space="preserve">. (D) Cell viability of HepG2 cells treated with GMOC at 7.81–250 </w:t>
      </w:r>
      <w:proofErr w:type="spellStart"/>
      <w:r w:rsidRPr="005F1603">
        <w:rPr>
          <w:rFonts w:eastAsiaTheme="minorEastAsia"/>
          <w:sz w:val="21"/>
          <w:szCs w:val="21"/>
        </w:rPr>
        <w:t>μM</w:t>
      </w:r>
      <w:proofErr w:type="spellEnd"/>
      <w:r w:rsidRPr="005F1603">
        <w:rPr>
          <w:rFonts w:eastAsiaTheme="minorEastAsia"/>
          <w:sz w:val="21"/>
          <w:szCs w:val="21"/>
        </w:rPr>
        <w:t>.</w:t>
      </w:r>
    </w:p>
    <w:bookmarkEnd w:id="43"/>
    <w:p w14:paraId="3FE5025E" w14:textId="7126CC4E" w:rsidR="006B17DC" w:rsidRPr="005F1603" w:rsidRDefault="00F319E7" w:rsidP="00F319E7">
      <w:pPr>
        <w:pStyle w:val="Heading1"/>
      </w:pPr>
      <w:r w:rsidRPr="005F1603">
        <w:rPr>
          <w:rFonts w:hint="eastAsia"/>
        </w:rPr>
        <w:t>Reference</w:t>
      </w:r>
      <w:r w:rsidR="00A720CD" w:rsidRPr="005F1603">
        <w:rPr>
          <w:rFonts w:hint="eastAsia"/>
        </w:rPr>
        <w:t>s</w:t>
      </w:r>
    </w:p>
    <w:p w14:paraId="6D434297" w14:textId="77777777" w:rsidR="00B35B59" w:rsidRPr="005F1603" w:rsidRDefault="006B17DC" w:rsidP="00B35B59">
      <w:pPr>
        <w:pStyle w:val="EndNoteBibliography"/>
        <w:spacing w:after="0"/>
        <w:ind w:left="480" w:hanging="480"/>
      </w:pPr>
      <w:r w:rsidRPr="005F1603">
        <w:rPr>
          <w:rFonts w:eastAsiaTheme="minorEastAsia"/>
        </w:rPr>
        <w:fldChar w:fldCharType="begin"/>
      </w:r>
      <w:r w:rsidRPr="005F1603">
        <w:rPr>
          <w:rFonts w:eastAsiaTheme="minorEastAsia"/>
        </w:rPr>
        <w:instrText xml:space="preserve"> ADDIN EN.REFLIST </w:instrText>
      </w:r>
      <w:r w:rsidRPr="005F1603">
        <w:rPr>
          <w:rFonts w:eastAsiaTheme="minorEastAsia"/>
        </w:rPr>
        <w:fldChar w:fldCharType="separate"/>
      </w:r>
      <w:r w:rsidR="00B35B59" w:rsidRPr="005F1603">
        <w:t>1.</w:t>
      </w:r>
      <w:r w:rsidR="00B35B59" w:rsidRPr="005F1603">
        <w:tab/>
        <w:t xml:space="preserve">Savander S, Curabaz NN, Abbasi AM, Khan A, Saeed K, Tanoli Z: </w:t>
      </w:r>
      <w:r w:rsidR="00B35B59" w:rsidRPr="005F1603">
        <w:rPr>
          <w:b/>
        </w:rPr>
        <w:t>Data-driven strategies for drug repurposing: insights, recommendations, and case studies.</w:t>
      </w:r>
      <w:r w:rsidR="00B35B59" w:rsidRPr="005F1603">
        <w:t xml:space="preserve"> </w:t>
      </w:r>
      <w:r w:rsidR="00B35B59" w:rsidRPr="005F1603">
        <w:rPr>
          <w:i/>
        </w:rPr>
        <w:t xml:space="preserve">Brief Bioinform </w:t>
      </w:r>
      <w:r w:rsidR="00B35B59" w:rsidRPr="005F1603">
        <w:t xml:space="preserve">2025, </w:t>
      </w:r>
      <w:r w:rsidR="00B35B59" w:rsidRPr="005F1603">
        <w:rPr>
          <w:b/>
        </w:rPr>
        <w:t>26:</w:t>
      </w:r>
      <w:r w:rsidR="00B35B59" w:rsidRPr="005F1603">
        <w:t>bbaf625.</w:t>
      </w:r>
    </w:p>
    <w:p w14:paraId="250E542C" w14:textId="77777777" w:rsidR="00B35B59" w:rsidRPr="005F1603" w:rsidRDefault="00B35B59" w:rsidP="00B35B59">
      <w:pPr>
        <w:pStyle w:val="EndNoteBibliography"/>
        <w:spacing w:after="0"/>
        <w:ind w:left="480" w:hanging="480"/>
      </w:pPr>
      <w:r w:rsidRPr="005F1603">
        <w:t>2.</w:t>
      </w:r>
      <w:r w:rsidRPr="005F1603">
        <w:tab/>
        <w:t xml:space="preserve">Zakharov AV, Peach ML, Sitzmann M, Nicklaus MC: </w:t>
      </w:r>
      <w:r w:rsidRPr="005F1603">
        <w:rPr>
          <w:b/>
        </w:rPr>
        <w:t>QSAR modeling of imbalanced high-throughput screening data in PubChem.</w:t>
      </w:r>
      <w:r w:rsidRPr="005F1603">
        <w:t xml:space="preserve"> </w:t>
      </w:r>
      <w:r w:rsidRPr="005F1603">
        <w:rPr>
          <w:i/>
        </w:rPr>
        <w:t xml:space="preserve">J Chem Inf Model </w:t>
      </w:r>
      <w:r w:rsidRPr="005F1603">
        <w:t xml:space="preserve">2014, </w:t>
      </w:r>
      <w:r w:rsidRPr="005F1603">
        <w:rPr>
          <w:b/>
        </w:rPr>
        <w:t>54:</w:t>
      </w:r>
      <w:r w:rsidRPr="005F1603">
        <w:t>705–712.</w:t>
      </w:r>
    </w:p>
    <w:p w14:paraId="7EF010D5" w14:textId="77777777" w:rsidR="00B35B59" w:rsidRPr="005F1603" w:rsidRDefault="00B35B59" w:rsidP="00B35B59">
      <w:pPr>
        <w:pStyle w:val="EndNoteBibliography"/>
        <w:spacing w:after="0"/>
        <w:ind w:left="480" w:hanging="480"/>
      </w:pPr>
      <w:r w:rsidRPr="005F1603">
        <w:t>3.</w:t>
      </w:r>
      <w:r w:rsidRPr="005F1603">
        <w:tab/>
        <w:t xml:space="preserve">Bie B, Sun J, Guo Y, Li J, Jiang W, Yang J, Huang C, Li Z: </w:t>
      </w:r>
      <w:r w:rsidRPr="005F1603">
        <w:rPr>
          <w:b/>
        </w:rPr>
        <w:t>Baicalein: A review of its anti-cancer effects and mechanisms in Hepatocellular Carcinoma.</w:t>
      </w:r>
      <w:r w:rsidRPr="005F1603">
        <w:t xml:space="preserve"> </w:t>
      </w:r>
      <w:r w:rsidRPr="005F1603">
        <w:rPr>
          <w:i/>
        </w:rPr>
        <w:t xml:space="preserve">Biomedicine &amp; Pharmacotherapy </w:t>
      </w:r>
      <w:r w:rsidRPr="005F1603">
        <w:t xml:space="preserve">2017, </w:t>
      </w:r>
      <w:r w:rsidRPr="005F1603">
        <w:rPr>
          <w:b/>
        </w:rPr>
        <w:t>93:</w:t>
      </w:r>
      <w:r w:rsidRPr="005F1603">
        <w:t>1285–1291.</w:t>
      </w:r>
    </w:p>
    <w:p w14:paraId="7CD0E738" w14:textId="77777777" w:rsidR="00B35B59" w:rsidRPr="005F1603" w:rsidRDefault="00B35B59" w:rsidP="00B35B59">
      <w:pPr>
        <w:pStyle w:val="EndNoteBibliography"/>
        <w:spacing w:after="0"/>
        <w:ind w:left="480" w:hanging="480"/>
      </w:pPr>
      <w:r w:rsidRPr="005F1603">
        <w:t>4.</w:t>
      </w:r>
      <w:r w:rsidRPr="005F1603">
        <w:tab/>
        <w:t xml:space="preserve">Chen H, Gao Y, Wu J, Chen Y, Chen B, Hu J, Zhou J: </w:t>
      </w:r>
      <w:r w:rsidRPr="005F1603">
        <w:rPr>
          <w:b/>
        </w:rPr>
        <w:t>Exploring therapeutic potentials of baicalin and its aglycone baicalein for hematological malignancies.</w:t>
      </w:r>
      <w:r w:rsidRPr="005F1603">
        <w:t xml:space="preserve"> </w:t>
      </w:r>
      <w:r w:rsidRPr="005F1603">
        <w:rPr>
          <w:i/>
        </w:rPr>
        <w:t xml:space="preserve">Cancer letters </w:t>
      </w:r>
      <w:r w:rsidRPr="005F1603">
        <w:t xml:space="preserve">2014, </w:t>
      </w:r>
      <w:r w:rsidRPr="005F1603">
        <w:rPr>
          <w:b/>
        </w:rPr>
        <w:t>354:</w:t>
      </w:r>
      <w:r w:rsidRPr="005F1603">
        <w:t>5–11.</w:t>
      </w:r>
    </w:p>
    <w:p w14:paraId="7FE67BE6" w14:textId="77777777" w:rsidR="00B35B59" w:rsidRPr="005F1603" w:rsidRDefault="00B35B59" w:rsidP="00B35B59">
      <w:pPr>
        <w:pStyle w:val="EndNoteBibliography"/>
        <w:spacing w:after="0"/>
        <w:ind w:left="480" w:hanging="480"/>
      </w:pPr>
      <w:r w:rsidRPr="005F1603">
        <w:t>5.</w:t>
      </w:r>
      <w:r w:rsidRPr="005F1603">
        <w:tab/>
        <w:t xml:space="preserve">Shen Y-C, Chiou W-F, Chou Y-C, Chen C-F: </w:t>
      </w:r>
      <w:r w:rsidRPr="005F1603">
        <w:rPr>
          <w:b/>
        </w:rPr>
        <w:t>Mechanisms in mediating the anti-inflammatory effects of baicalin and baicalein in human leukocytes.</w:t>
      </w:r>
      <w:r w:rsidRPr="005F1603">
        <w:t xml:space="preserve"> </w:t>
      </w:r>
      <w:r w:rsidRPr="005F1603">
        <w:rPr>
          <w:i/>
        </w:rPr>
        <w:t xml:space="preserve">European journal of pharmacology </w:t>
      </w:r>
      <w:r w:rsidRPr="005F1603">
        <w:t xml:space="preserve">2003, </w:t>
      </w:r>
      <w:r w:rsidRPr="005F1603">
        <w:rPr>
          <w:b/>
        </w:rPr>
        <w:t>465:</w:t>
      </w:r>
      <w:r w:rsidRPr="005F1603">
        <w:t>171–181.</w:t>
      </w:r>
    </w:p>
    <w:p w14:paraId="654E373C" w14:textId="77777777" w:rsidR="00B35B59" w:rsidRPr="005F1603" w:rsidRDefault="00B35B59" w:rsidP="00B35B59">
      <w:pPr>
        <w:pStyle w:val="EndNoteBibliography"/>
        <w:spacing w:after="0"/>
        <w:ind w:left="480" w:hanging="480"/>
      </w:pPr>
      <w:r w:rsidRPr="005F1603">
        <w:t>6.</w:t>
      </w:r>
      <w:r w:rsidRPr="005F1603">
        <w:tab/>
        <w:t xml:space="preserve">Li Y, Zhao J, Hölscher C: </w:t>
      </w:r>
      <w:r w:rsidRPr="005F1603">
        <w:rPr>
          <w:b/>
        </w:rPr>
        <w:t>Therapeutic potential of baicalein in Alzheimer’s disease and Parkinson’s disease.</w:t>
      </w:r>
      <w:r w:rsidRPr="005F1603">
        <w:t xml:space="preserve"> </w:t>
      </w:r>
      <w:r w:rsidRPr="005F1603">
        <w:rPr>
          <w:i/>
        </w:rPr>
        <w:t xml:space="preserve">CNS drugs </w:t>
      </w:r>
      <w:r w:rsidRPr="005F1603">
        <w:t xml:space="preserve">2017, </w:t>
      </w:r>
      <w:r w:rsidRPr="005F1603">
        <w:rPr>
          <w:b/>
        </w:rPr>
        <w:t>31:</w:t>
      </w:r>
      <w:r w:rsidRPr="005F1603">
        <w:t>639–652.</w:t>
      </w:r>
    </w:p>
    <w:p w14:paraId="050AA5F9" w14:textId="77777777" w:rsidR="00B35B59" w:rsidRPr="005F1603" w:rsidRDefault="00B35B59" w:rsidP="00B35B59">
      <w:pPr>
        <w:pStyle w:val="EndNoteBibliography"/>
        <w:spacing w:after="0"/>
        <w:ind w:left="480" w:hanging="480"/>
      </w:pPr>
      <w:r w:rsidRPr="005F1603">
        <w:t>7.</w:t>
      </w:r>
      <w:r w:rsidRPr="005F1603">
        <w:tab/>
        <w:t xml:space="preserve">Dermani FK, Samadi P, Rahmani G, Kohlan AK, Najafi R: </w:t>
      </w:r>
      <w:r w:rsidRPr="005F1603">
        <w:rPr>
          <w:b/>
        </w:rPr>
        <w:t>PD-1/PD-L1 immune checkpoint: Potential target for cancer therapy.</w:t>
      </w:r>
      <w:r w:rsidRPr="005F1603">
        <w:t xml:space="preserve"> </w:t>
      </w:r>
      <w:r w:rsidRPr="005F1603">
        <w:rPr>
          <w:i/>
        </w:rPr>
        <w:t xml:space="preserve">Journal of Cellular Physiology </w:t>
      </w:r>
      <w:r w:rsidRPr="005F1603">
        <w:t xml:space="preserve">2019, </w:t>
      </w:r>
      <w:r w:rsidRPr="005F1603">
        <w:rPr>
          <w:b/>
        </w:rPr>
        <w:t>234:</w:t>
      </w:r>
      <w:r w:rsidRPr="005F1603">
        <w:t>1313–1325.</w:t>
      </w:r>
    </w:p>
    <w:p w14:paraId="2E3C0067" w14:textId="77777777" w:rsidR="00B35B59" w:rsidRPr="005F1603" w:rsidRDefault="00B35B59" w:rsidP="00B35B59">
      <w:pPr>
        <w:pStyle w:val="EndNoteBibliography"/>
        <w:spacing w:after="0"/>
        <w:ind w:left="480" w:hanging="480"/>
      </w:pPr>
      <w:r w:rsidRPr="005F1603">
        <w:t>8.</w:t>
      </w:r>
      <w:r w:rsidRPr="005F1603">
        <w:tab/>
        <w:t xml:space="preserve">Gagliani N, Vesely MCA, Iseppon A, Brockmann L, Xu H, Palm NW, de Zoete MR, Licona-Limón P, Paiva RS, Ching T, et al: </w:t>
      </w:r>
      <w:r w:rsidRPr="005F1603">
        <w:rPr>
          <w:b/>
        </w:rPr>
        <w:t>TH17 cells transdifferentiate into regulatory T cells during resolution of inflammation.</w:t>
      </w:r>
      <w:r w:rsidRPr="005F1603">
        <w:t xml:space="preserve"> </w:t>
      </w:r>
      <w:r w:rsidRPr="005F1603">
        <w:rPr>
          <w:i/>
        </w:rPr>
        <w:t xml:space="preserve">Nature </w:t>
      </w:r>
      <w:r w:rsidRPr="005F1603">
        <w:t xml:space="preserve">2015, </w:t>
      </w:r>
      <w:r w:rsidRPr="005F1603">
        <w:rPr>
          <w:b/>
        </w:rPr>
        <w:t>523:</w:t>
      </w:r>
      <w:r w:rsidRPr="005F1603">
        <w:t>221–U225.</w:t>
      </w:r>
    </w:p>
    <w:p w14:paraId="3AE72304" w14:textId="77777777" w:rsidR="00B35B59" w:rsidRPr="005F1603" w:rsidRDefault="00B35B59" w:rsidP="00B35B59">
      <w:pPr>
        <w:pStyle w:val="EndNoteBibliography"/>
        <w:spacing w:after="0"/>
        <w:ind w:left="480" w:hanging="480"/>
      </w:pPr>
      <w:r w:rsidRPr="005F1603">
        <w:t>9.</w:t>
      </w:r>
      <w:r w:rsidRPr="005F1603">
        <w:tab/>
        <w:t xml:space="preserve">Reddy VP, Aryal P, Soni P: </w:t>
      </w:r>
      <w:r w:rsidRPr="005F1603">
        <w:rPr>
          <w:b/>
        </w:rPr>
        <w:t>RAGE Inhibitors in Neurodegenerative Diseases.</w:t>
      </w:r>
      <w:r w:rsidRPr="005F1603">
        <w:t xml:space="preserve"> </w:t>
      </w:r>
      <w:r w:rsidRPr="005F1603">
        <w:rPr>
          <w:i/>
        </w:rPr>
        <w:t>Bio</w:t>
      </w:r>
      <w:bookmarkStart w:id="45" w:name="_GoBack"/>
      <w:bookmarkEnd w:id="45"/>
      <w:r w:rsidRPr="005F1603">
        <w:rPr>
          <w:i/>
        </w:rPr>
        <w:t xml:space="preserve">medicines </w:t>
      </w:r>
      <w:r w:rsidRPr="005F1603">
        <w:t xml:space="preserve">2023, </w:t>
      </w:r>
      <w:r w:rsidRPr="005F1603">
        <w:rPr>
          <w:b/>
        </w:rPr>
        <w:t>11</w:t>
      </w:r>
      <w:r w:rsidRPr="005F1603">
        <w:t>.</w:t>
      </w:r>
    </w:p>
    <w:p w14:paraId="6E2D9EA0" w14:textId="77777777" w:rsidR="00B35B59" w:rsidRPr="005F1603" w:rsidRDefault="00B35B59" w:rsidP="00B35B59">
      <w:pPr>
        <w:pStyle w:val="EndNoteBibliography"/>
        <w:spacing w:after="0"/>
        <w:ind w:left="480" w:hanging="480"/>
      </w:pPr>
      <w:r w:rsidRPr="005F1603">
        <w:t>10.</w:t>
      </w:r>
      <w:r w:rsidRPr="005F1603">
        <w:tab/>
        <w:t xml:space="preserve">Boccardi V, Mancinetti F, Mecocci P: </w:t>
      </w:r>
      <w:r w:rsidRPr="005F1603">
        <w:rPr>
          <w:b/>
        </w:rPr>
        <w:t>Oxidative Stress, Advanced Glycation End Products (AGEs), and Neurodegeneration in Alzheimer's Disease: A Metabolic Perspective.</w:t>
      </w:r>
      <w:r w:rsidRPr="005F1603">
        <w:t xml:space="preserve"> </w:t>
      </w:r>
      <w:r w:rsidRPr="005F1603">
        <w:rPr>
          <w:i/>
        </w:rPr>
        <w:t xml:space="preserve">Antioxidants </w:t>
      </w:r>
      <w:r w:rsidRPr="005F1603">
        <w:t xml:space="preserve">2025, </w:t>
      </w:r>
      <w:r w:rsidRPr="005F1603">
        <w:rPr>
          <w:b/>
        </w:rPr>
        <w:t>14</w:t>
      </w:r>
      <w:r w:rsidRPr="005F1603">
        <w:t>.</w:t>
      </w:r>
    </w:p>
    <w:p w14:paraId="07ABB5B0" w14:textId="77777777" w:rsidR="00B35B59" w:rsidRPr="005F1603" w:rsidRDefault="00B35B59" w:rsidP="00B35B59">
      <w:pPr>
        <w:pStyle w:val="EndNoteBibliography"/>
        <w:spacing w:after="0"/>
        <w:ind w:left="480" w:hanging="480"/>
      </w:pPr>
      <w:r w:rsidRPr="005F1603">
        <w:t>11.</w:t>
      </w:r>
      <w:r w:rsidRPr="005F1603">
        <w:tab/>
        <w:t xml:space="preserve">Bannister K, Sachau J, Baron R, Dickenson AH: </w:t>
      </w:r>
      <w:r w:rsidRPr="005F1603">
        <w:rPr>
          <w:b/>
        </w:rPr>
        <w:t>Neuropathic Pain: Mechanism-Based Therapeutics.</w:t>
      </w:r>
      <w:r w:rsidRPr="005F1603">
        <w:t xml:space="preserve"> In </w:t>
      </w:r>
      <w:r w:rsidRPr="005F1603">
        <w:rPr>
          <w:i/>
        </w:rPr>
        <w:t>Annual Review of Pharmacology and Toxicology, Vol 60.</w:t>
      </w:r>
      <w:r w:rsidRPr="005F1603">
        <w:t xml:space="preserve"> </w:t>
      </w:r>
      <w:r w:rsidRPr="005F1603">
        <w:rPr>
          <w:i/>
        </w:rPr>
        <w:t>Volume</w:t>
      </w:r>
      <w:r w:rsidRPr="005F1603">
        <w:t xml:space="preserve"> 60. Edited by Insel PA; 2020: 257–274: </w:t>
      </w:r>
      <w:r w:rsidRPr="005F1603">
        <w:rPr>
          <w:i/>
        </w:rPr>
        <w:t>Annual Review of Pharmacology and Toxicology</w:t>
      </w:r>
      <w:r w:rsidRPr="005F1603">
        <w:t>].</w:t>
      </w:r>
    </w:p>
    <w:p w14:paraId="1299245E" w14:textId="77777777" w:rsidR="00B35B59" w:rsidRPr="005F1603" w:rsidRDefault="00B35B59" w:rsidP="00B35B59">
      <w:pPr>
        <w:pStyle w:val="EndNoteBibliography"/>
        <w:spacing w:after="0"/>
        <w:ind w:left="480" w:hanging="480"/>
      </w:pPr>
      <w:r w:rsidRPr="005F1603">
        <w:t>12.</w:t>
      </w:r>
      <w:r w:rsidRPr="005F1603">
        <w:tab/>
        <w:t xml:space="preserve">Szatmary P, Grammatikopoulos T, Cai WH, Huang W, Mukherjee R, Halloran C, Beyer G, Sutton R: </w:t>
      </w:r>
      <w:r w:rsidRPr="005F1603">
        <w:rPr>
          <w:b/>
        </w:rPr>
        <w:t>Acute Pancreatitis: Diagnosis and Treatment.</w:t>
      </w:r>
      <w:r w:rsidRPr="005F1603">
        <w:t xml:space="preserve"> </w:t>
      </w:r>
      <w:r w:rsidRPr="005F1603">
        <w:rPr>
          <w:i/>
        </w:rPr>
        <w:t xml:space="preserve">Drugs </w:t>
      </w:r>
      <w:r w:rsidRPr="005F1603">
        <w:t xml:space="preserve">2022, </w:t>
      </w:r>
      <w:r w:rsidRPr="005F1603">
        <w:rPr>
          <w:b/>
        </w:rPr>
        <w:t>82:</w:t>
      </w:r>
      <w:r w:rsidRPr="005F1603">
        <w:t>1251–1276.</w:t>
      </w:r>
    </w:p>
    <w:p w14:paraId="0A8F3429" w14:textId="77777777" w:rsidR="00B35B59" w:rsidRPr="005F1603" w:rsidRDefault="00B35B59" w:rsidP="00B35B59">
      <w:pPr>
        <w:pStyle w:val="EndNoteBibliography"/>
        <w:spacing w:after="0"/>
        <w:ind w:left="480" w:hanging="480"/>
      </w:pPr>
      <w:r w:rsidRPr="005F1603">
        <w:t>13.</w:t>
      </w:r>
      <w:r w:rsidRPr="005F1603">
        <w:tab/>
        <w:t xml:space="preserve">Wang J, Zhou YM, Zhang HL, Hu LH, Liu JT, Wang L, Wang TY, Zhang HY, Cong LP, Wang Q: </w:t>
      </w:r>
      <w:r w:rsidRPr="005F1603">
        <w:rPr>
          <w:b/>
        </w:rPr>
        <w:t>Pathogenesis of allergic diseases and implications for therapeutic interventions.</w:t>
      </w:r>
      <w:r w:rsidRPr="005F1603">
        <w:t xml:space="preserve"> </w:t>
      </w:r>
      <w:r w:rsidRPr="005F1603">
        <w:rPr>
          <w:i/>
        </w:rPr>
        <w:t xml:space="preserve">Signal Transduction and Targeted Therapy </w:t>
      </w:r>
      <w:r w:rsidRPr="005F1603">
        <w:t xml:space="preserve">2023, </w:t>
      </w:r>
      <w:r w:rsidRPr="005F1603">
        <w:rPr>
          <w:b/>
        </w:rPr>
        <w:t>8</w:t>
      </w:r>
      <w:r w:rsidRPr="005F1603">
        <w:t>.</w:t>
      </w:r>
    </w:p>
    <w:p w14:paraId="3EDE7C26" w14:textId="77777777" w:rsidR="00B35B59" w:rsidRPr="005F1603" w:rsidRDefault="00B35B59" w:rsidP="00B35B59">
      <w:pPr>
        <w:pStyle w:val="EndNoteBibliography"/>
        <w:spacing w:after="0"/>
        <w:ind w:left="480" w:hanging="480"/>
      </w:pPr>
      <w:r w:rsidRPr="005F1603">
        <w:t>14.</w:t>
      </w:r>
      <w:r w:rsidRPr="005F1603">
        <w:tab/>
        <w:t xml:space="preserve">Guzmán C, Benet M, Pisonero-Vaquero S, Moya M, García-Mediavilla MV, Martínez-Chantar ML, González-Gallego J, Castell JV, Sánchez-Campos S, Jover R: </w:t>
      </w:r>
      <w:r w:rsidRPr="005F1603">
        <w:rPr>
          <w:b/>
        </w:rPr>
        <w:t>The human liver fatty acid binding protein (FABP1) gene is activated by FOXA1 and PPARα; and repressed by C/EBPα: Implications in FABP1 down-regulation in nonalcoholic fatty liver disease.</w:t>
      </w:r>
      <w:r w:rsidRPr="005F1603">
        <w:t xml:space="preserve"> </w:t>
      </w:r>
      <w:r w:rsidRPr="005F1603">
        <w:rPr>
          <w:i/>
        </w:rPr>
        <w:t xml:space="preserve">Biochimica et Biophysica Acta (BBA)-Molecular and Cell Biology of Lipids </w:t>
      </w:r>
      <w:r w:rsidRPr="005F1603">
        <w:t xml:space="preserve">2013, </w:t>
      </w:r>
      <w:r w:rsidRPr="005F1603">
        <w:rPr>
          <w:b/>
        </w:rPr>
        <w:t>1831:</w:t>
      </w:r>
      <w:r w:rsidRPr="005F1603">
        <w:t>803–818.</w:t>
      </w:r>
    </w:p>
    <w:p w14:paraId="55B38140" w14:textId="77777777" w:rsidR="00B35B59" w:rsidRPr="005F1603" w:rsidRDefault="00B35B59" w:rsidP="00B35B59">
      <w:pPr>
        <w:pStyle w:val="EndNoteBibliography"/>
        <w:spacing w:after="0"/>
        <w:ind w:left="480" w:hanging="480"/>
      </w:pPr>
      <w:r w:rsidRPr="005F1603">
        <w:t>15.</w:t>
      </w:r>
      <w:r w:rsidRPr="005F1603">
        <w:tab/>
        <w:t xml:space="preserve">Skubic C, Trček H, Nassib P, Kreft T, Walakira A, Pohar K, Petek S, Režen T, Ihan A, Rozman D: </w:t>
      </w:r>
      <w:r w:rsidRPr="005F1603">
        <w:rPr>
          <w:b/>
        </w:rPr>
        <w:t>Knockouts of CYP51A1, DHCR24, or SC5D from cholesterol synthesis reveal pathways modulated by sterol intermediates.</w:t>
      </w:r>
      <w:r w:rsidRPr="005F1603">
        <w:t xml:space="preserve"> </w:t>
      </w:r>
      <w:r w:rsidRPr="005F1603">
        <w:rPr>
          <w:i/>
        </w:rPr>
        <w:t xml:space="preserve">Iscience </w:t>
      </w:r>
      <w:r w:rsidRPr="005F1603">
        <w:t xml:space="preserve">2024, </w:t>
      </w:r>
      <w:r w:rsidRPr="005F1603">
        <w:rPr>
          <w:b/>
        </w:rPr>
        <w:t>27</w:t>
      </w:r>
      <w:r w:rsidRPr="005F1603">
        <w:t>.</w:t>
      </w:r>
    </w:p>
    <w:p w14:paraId="34D55FFE" w14:textId="77777777" w:rsidR="00B35B59" w:rsidRPr="005F1603" w:rsidRDefault="00B35B59" w:rsidP="00B35B59">
      <w:pPr>
        <w:pStyle w:val="EndNoteBibliography"/>
        <w:spacing w:after="0"/>
        <w:ind w:left="480" w:hanging="480"/>
      </w:pPr>
      <w:r w:rsidRPr="005F1603">
        <w:t>16.</w:t>
      </w:r>
      <w:r w:rsidRPr="005F1603">
        <w:tab/>
        <w:t xml:space="preserve">Lorbek G, Perše M, Jeruc J, Juvan P, Gutierrez-Mariscal FM, Lewinska M, Gebhardt R, Keber R, Horvat S, Björkhem I: </w:t>
      </w:r>
      <w:r w:rsidRPr="005F1603">
        <w:rPr>
          <w:b/>
        </w:rPr>
        <w:t>Lessons from hepatocyte-specific Cyp51 knockout mice: impaired cholesterol synthesis leads to oval cell-driven liver injury.</w:t>
      </w:r>
      <w:r w:rsidRPr="005F1603">
        <w:t xml:space="preserve"> </w:t>
      </w:r>
      <w:r w:rsidRPr="005F1603">
        <w:rPr>
          <w:i/>
        </w:rPr>
        <w:t xml:space="preserve">Sci Rep </w:t>
      </w:r>
      <w:r w:rsidRPr="005F1603">
        <w:t xml:space="preserve">2015, </w:t>
      </w:r>
      <w:r w:rsidRPr="005F1603">
        <w:rPr>
          <w:b/>
        </w:rPr>
        <w:t>5:</w:t>
      </w:r>
      <w:r w:rsidRPr="005F1603">
        <w:t>8777.</w:t>
      </w:r>
    </w:p>
    <w:p w14:paraId="7FC5D4FB" w14:textId="77777777" w:rsidR="00B35B59" w:rsidRPr="005F1603" w:rsidRDefault="00B35B59" w:rsidP="00B35B59">
      <w:pPr>
        <w:pStyle w:val="EndNoteBibliography"/>
        <w:ind w:left="480" w:hanging="480"/>
      </w:pPr>
      <w:r w:rsidRPr="005F1603">
        <w:t>17.</w:t>
      </w:r>
      <w:r w:rsidRPr="005F1603">
        <w:tab/>
        <w:t xml:space="preserve">Roberts MD, Mobley CB, Toedebush RG, Heese AJ, Zhu C, Krieger AE, Cruthirds CL, Lockwood CM, Hofheins JC, Wiedmeyer CE: </w:t>
      </w:r>
      <w:r w:rsidRPr="005F1603">
        <w:rPr>
          <w:b/>
        </w:rPr>
        <w:t>Western diet-induced hepatic steatosis and alterations in the liver transcriptome in adult Brown-Norway rats.</w:t>
      </w:r>
      <w:r w:rsidRPr="005F1603">
        <w:t xml:space="preserve"> </w:t>
      </w:r>
      <w:r w:rsidRPr="005F1603">
        <w:rPr>
          <w:i/>
        </w:rPr>
        <w:t xml:space="preserve">BMC Gastroenterol </w:t>
      </w:r>
      <w:r w:rsidRPr="005F1603">
        <w:t xml:space="preserve">2015, </w:t>
      </w:r>
      <w:r w:rsidRPr="005F1603">
        <w:rPr>
          <w:b/>
        </w:rPr>
        <w:t>15:</w:t>
      </w:r>
      <w:r w:rsidRPr="005F1603">
        <w:t>151.</w:t>
      </w:r>
    </w:p>
    <w:p w14:paraId="5B30E3FD" w14:textId="6F753D84" w:rsidR="00DC1EB6" w:rsidRPr="005F1603" w:rsidRDefault="006B17DC" w:rsidP="00DC1EB6">
      <w:pPr>
        <w:ind w:firstLine="480"/>
        <w:jc w:val="center"/>
        <w:rPr>
          <w:rFonts w:eastAsiaTheme="minorEastAsia"/>
        </w:rPr>
      </w:pPr>
      <w:r w:rsidRPr="005F1603">
        <w:rPr>
          <w:rFonts w:eastAsiaTheme="minorEastAsia"/>
        </w:rPr>
        <w:fldChar w:fldCharType="end"/>
      </w:r>
    </w:p>
    <w:sectPr w:rsidR="00DC1EB6" w:rsidRPr="005F1603" w:rsidSect="005F1603">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A9B5E" w14:textId="77777777" w:rsidR="00DE614C" w:rsidRDefault="00DE614C" w:rsidP="00DB0433">
      <w:pPr>
        <w:spacing w:line="240" w:lineRule="auto"/>
        <w:ind w:firstLine="480"/>
      </w:pPr>
      <w:r>
        <w:separator/>
      </w:r>
    </w:p>
  </w:endnote>
  <w:endnote w:type="continuationSeparator" w:id="0">
    <w:p w14:paraId="28C9AC51" w14:textId="77777777" w:rsidR="00DE614C" w:rsidRDefault="00DE614C" w:rsidP="00DB0433">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Microsoft YaHei"/>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9BA31" w14:textId="77777777" w:rsidR="00CA40FC" w:rsidRDefault="00CA4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383A3" w14:textId="77777777" w:rsidR="00CA40FC" w:rsidRDefault="00CA4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D3F7A" w14:textId="77777777" w:rsidR="00CA40FC" w:rsidRDefault="00CA4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878F09" w14:textId="77777777" w:rsidR="00DE614C" w:rsidRDefault="00DE614C" w:rsidP="00DB0433">
      <w:pPr>
        <w:spacing w:line="240" w:lineRule="auto"/>
        <w:ind w:firstLine="480"/>
      </w:pPr>
      <w:r>
        <w:separator/>
      </w:r>
    </w:p>
  </w:footnote>
  <w:footnote w:type="continuationSeparator" w:id="0">
    <w:p w14:paraId="1C34CACF" w14:textId="77777777" w:rsidR="00DE614C" w:rsidRDefault="00DE614C" w:rsidP="00DB0433">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C906C" w14:textId="77777777" w:rsidR="00CA40FC" w:rsidRDefault="00CA4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0B6ED" w14:textId="77777777" w:rsidR="00CA40FC" w:rsidRDefault="00CA4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03DE0" w14:textId="77777777" w:rsidR="00CA40FC" w:rsidRDefault="00CA40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bordersDoNotSurroundHeader/>
  <w:bordersDoNotSurroundFooter/>
  <w:proofState w:spelling="clean" w:grammar="clean"/>
  <w:revisionView w:markup="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 Central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avaetz6zxfdhetatnp0wsgzxv0ewswedta&quot;&gt;test&lt;record-ids&gt;&lt;item&gt;309&lt;/item&gt;&lt;item&gt;318&lt;/item&gt;&lt;item&gt;319&lt;/item&gt;&lt;item&gt;320&lt;/item&gt;&lt;item&gt;321&lt;/item&gt;&lt;item&gt;323&lt;/item&gt;&lt;/record-ids&gt;&lt;/item&gt;&lt;/Libraries&gt;"/>
  </w:docVars>
  <w:rsids>
    <w:rsidRoot w:val="008063BA"/>
    <w:rsid w:val="00036F45"/>
    <w:rsid w:val="0007269C"/>
    <w:rsid w:val="000966D7"/>
    <w:rsid w:val="00097F00"/>
    <w:rsid w:val="000A3FBC"/>
    <w:rsid w:val="000C1E40"/>
    <w:rsid w:val="000E229E"/>
    <w:rsid w:val="000E2D99"/>
    <w:rsid w:val="000F1B27"/>
    <w:rsid w:val="001130AE"/>
    <w:rsid w:val="0014164B"/>
    <w:rsid w:val="00161645"/>
    <w:rsid w:val="001A0E3B"/>
    <w:rsid w:val="001A66AB"/>
    <w:rsid w:val="001C7B6B"/>
    <w:rsid w:val="001E6F4C"/>
    <w:rsid w:val="00205F33"/>
    <w:rsid w:val="002075BF"/>
    <w:rsid w:val="0021567E"/>
    <w:rsid w:val="00243E9E"/>
    <w:rsid w:val="00253277"/>
    <w:rsid w:val="00287135"/>
    <w:rsid w:val="00294012"/>
    <w:rsid w:val="002A0C77"/>
    <w:rsid w:val="002C3423"/>
    <w:rsid w:val="0030359C"/>
    <w:rsid w:val="00311892"/>
    <w:rsid w:val="00312524"/>
    <w:rsid w:val="00323846"/>
    <w:rsid w:val="00334181"/>
    <w:rsid w:val="003360BE"/>
    <w:rsid w:val="0036288F"/>
    <w:rsid w:val="0037025D"/>
    <w:rsid w:val="003A5D3B"/>
    <w:rsid w:val="003B71EE"/>
    <w:rsid w:val="003C3183"/>
    <w:rsid w:val="003F220B"/>
    <w:rsid w:val="004157C1"/>
    <w:rsid w:val="004215A9"/>
    <w:rsid w:val="004224A3"/>
    <w:rsid w:val="00440723"/>
    <w:rsid w:val="00470CB7"/>
    <w:rsid w:val="004736AB"/>
    <w:rsid w:val="004910F2"/>
    <w:rsid w:val="004A3402"/>
    <w:rsid w:val="004B21B3"/>
    <w:rsid w:val="004C2C39"/>
    <w:rsid w:val="00576612"/>
    <w:rsid w:val="005B53B3"/>
    <w:rsid w:val="005B65D3"/>
    <w:rsid w:val="005D321A"/>
    <w:rsid w:val="005F1603"/>
    <w:rsid w:val="00611BE0"/>
    <w:rsid w:val="00615993"/>
    <w:rsid w:val="00646270"/>
    <w:rsid w:val="0064630D"/>
    <w:rsid w:val="00651F70"/>
    <w:rsid w:val="006611A0"/>
    <w:rsid w:val="00665302"/>
    <w:rsid w:val="006A0E87"/>
    <w:rsid w:val="006B17DC"/>
    <w:rsid w:val="006C730C"/>
    <w:rsid w:val="006D29AC"/>
    <w:rsid w:val="006D5729"/>
    <w:rsid w:val="006D6DB5"/>
    <w:rsid w:val="00710A4E"/>
    <w:rsid w:val="007205D0"/>
    <w:rsid w:val="007670A0"/>
    <w:rsid w:val="00771CF8"/>
    <w:rsid w:val="00774E5F"/>
    <w:rsid w:val="007A2DEB"/>
    <w:rsid w:val="007A5A08"/>
    <w:rsid w:val="007B4D9D"/>
    <w:rsid w:val="0080264D"/>
    <w:rsid w:val="008063BA"/>
    <w:rsid w:val="0085043C"/>
    <w:rsid w:val="00857271"/>
    <w:rsid w:val="00891FF6"/>
    <w:rsid w:val="008B70E2"/>
    <w:rsid w:val="008C0D1C"/>
    <w:rsid w:val="008E382B"/>
    <w:rsid w:val="00995BE8"/>
    <w:rsid w:val="009C3659"/>
    <w:rsid w:val="009C6C38"/>
    <w:rsid w:val="009D7408"/>
    <w:rsid w:val="009E0D98"/>
    <w:rsid w:val="00A33B1E"/>
    <w:rsid w:val="00A720CD"/>
    <w:rsid w:val="00A91597"/>
    <w:rsid w:val="00AE499C"/>
    <w:rsid w:val="00B10EBF"/>
    <w:rsid w:val="00B35B59"/>
    <w:rsid w:val="00B667B4"/>
    <w:rsid w:val="00B762B2"/>
    <w:rsid w:val="00B833E5"/>
    <w:rsid w:val="00B83E42"/>
    <w:rsid w:val="00B9244E"/>
    <w:rsid w:val="00BA481E"/>
    <w:rsid w:val="00BA6126"/>
    <w:rsid w:val="00BA7D1C"/>
    <w:rsid w:val="00BC23C2"/>
    <w:rsid w:val="00C01866"/>
    <w:rsid w:val="00C06BBD"/>
    <w:rsid w:val="00C17B7A"/>
    <w:rsid w:val="00C26142"/>
    <w:rsid w:val="00C33654"/>
    <w:rsid w:val="00C4284F"/>
    <w:rsid w:val="00C61BB4"/>
    <w:rsid w:val="00C910FC"/>
    <w:rsid w:val="00C94FA2"/>
    <w:rsid w:val="00CA04EA"/>
    <w:rsid w:val="00CA40FC"/>
    <w:rsid w:val="00D45697"/>
    <w:rsid w:val="00D505E8"/>
    <w:rsid w:val="00D5703E"/>
    <w:rsid w:val="00D7051D"/>
    <w:rsid w:val="00D82F13"/>
    <w:rsid w:val="00D85883"/>
    <w:rsid w:val="00D94A93"/>
    <w:rsid w:val="00DA17FF"/>
    <w:rsid w:val="00DA5CDA"/>
    <w:rsid w:val="00DB0433"/>
    <w:rsid w:val="00DC1E46"/>
    <w:rsid w:val="00DC1EB6"/>
    <w:rsid w:val="00DE614C"/>
    <w:rsid w:val="00E0187C"/>
    <w:rsid w:val="00E04D9F"/>
    <w:rsid w:val="00E3519F"/>
    <w:rsid w:val="00E436D6"/>
    <w:rsid w:val="00E43911"/>
    <w:rsid w:val="00E46015"/>
    <w:rsid w:val="00EA1622"/>
    <w:rsid w:val="00ED61E2"/>
    <w:rsid w:val="00EE6682"/>
    <w:rsid w:val="00F00366"/>
    <w:rsid w:val="00F10B9E"/>
    <w:rsid w:val="00F319E7"/>
    <w:rsid w:val="00F72AAB"/>
    <w:rsid w:val="00FA2CD1"/>
    <w:rsid w:val="00FB1443"/>
    <w:rsid w:val="00FB28FD"/>
    <w:rsid w:val="00FE5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F86AF"/>
  <w15:chartTrackingRefBased/>
  <w15:docId w15:val="{87C0F738-213B-4C95-95F7-D28D1D54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7FF"/>
    <w:pPr>
      <w:widowControl w:val="0"/>
      <w:spacing w:after="0" w:line="360" w:lineRule="auto"/>
      <w:ind w:firstLineChars="200" w:firstLine="200"/>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319E7"/>
    <w:pPr>
      <w:keepNext/>
      <w:keepLines/>
      <w:spacing w:before="480" w:after="80"/>
      <w:ind w:firstLineChars="0" w:firstLine="0"/>
      <w:jc w:val="left"/>
      <w:outlineLvl w:val="0"/>
    </w:pPr>
    <w:rPr>
      <w:rFonts w:eastAsia="SimSun" w:cstheme="majorBidi"/>
      <w:szCs w:val="48"/>
    </w:rPr>
  </w:style>
  <w:style w:type="paragraph" w:styleId="Heading2">
    <w:name w:val="heading 2"/>
    <w:basedOn w:val="Normal"/>
    <w:next w:val="Normal"/>
    <w:link w:val="Heading2Char"/>
    <w:uiPriority w:val="9"/>
    <w:unhideWhenUsed/>
    <w:qFormat/>
    <w:rsid w:val="004157C1"/>
    <w:pPr>
      <w:keepNext/>
      <w:keepLines/>
      <w:spacing w:before="160" w:after="80"/>
      <w:ind w:firstLineChars="0" w:firstLine="0"/>
      <w:jc w:val="left"/>
      <w:outlineLvl w:val="1"/>
    </w:pPr>
    <w:rPr>
      <w:rFonts w:eastAsia="SimSun" w:cstheme="majorBidi"/>
      <w:szCs w:val="40"/>
    </w:rPr>
  </w:style>
  <w:style w:type="paragraph" w:styleId="Heading3">
    <w:name w:val="heading 3"/>
    <w:basedOn w:val="Normal"/>
    <w:next w:val="Normal"/>
    <w:link w:val="Heading3Char"/>
    <w:uiPriority w:val="9"/>
    <w:semiHidden/>
    <w:unhideWhenUsed/>
    <w:qFormat/>
    <w:rsid w:val="008063BA"/>
    <w:pPr>
      <w:keepNext/>
      <w:keepLines/>
      <w:spacing w:before="160" w:after="80" w:line="278" w:lineRule="auto"/>
      <w:ind w:firstLineChars="0" w:firstLine="0"/>
      <w:jc w:val="left"/>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8063BA"/>
    <w:pPr>
      <w:keepNext/>
      <w:keepLines/>
      <w:spacing w:before="80" w:after="40" w:line="278" w:lineRule="auto"/>
      <w:ind w:firstLineChars="0" w:firstLine="0"/>
      <w:jc w:val="left"/>
      <w:outlineLvl w:val="3"/>
    </w:pPr>
    <w:rPr>
      <w:rFonts w:asciiTheme="minorHAnsi" w:eastAsiaTheme="minorEastAsia" w:hAnsiTheme="minorHAnsi"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8063BA"/>
    <w:pPr>
      <w:keepNext/>
      <w:keepLines/>
      <w:spacing w:before="80" w:after="40" w:line="278" w:lineRule="auto"/>
      <w:ind w:firstLineChars="0" w:firstLine="0"/>
      <w:jc w:val="left"/>
      <w:outlineLvl w:val="4"/>
    </w:pPr>
    <w:rPr>
      <w:rFonts w:asciiTheme="minorHAnsi" w:eastAsiaTheme="min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063BA"/>
    <w:pPr>
      <w:keepNext/>
      <w:keepLines/>
      <w:spacing w:before="40" w:line="278" w:lineRule="auto"/>
      <w:ind w:firstLineChars="0" w:firstLine="0"/>
      <w:jc w:val="left"/>
      <w:outlineLvl w:val="5"/>
    </w:pPr>
    <w:rPr>
      <w:rFonts w:asciiTheme="minorHAnsi" w:eastAsiaTheme="minorEastAsia" w:hAnsiTheme="minorHAnsi" w:cstheme="majorBidi"/>
      <w:b/>
      <w:bCs/>
      <w:color w:val="0F4761" w:themeColor="accent1" w:themeShade="BF"/>
      <w:sz w:val="22"/>
    </w:rPr>
  </w:style>
  <w:style w:type="paragraph" w:styleId="Heading7">
    <w:name w:val="heading 7"/>
    <w:basedOn w:val="Normal"/>
    <w:next w:val="Normal"/>
    <w:link w:val="Heading7Char"/>
    <w:uiPriority w:val="9"/>
    <w:semiHidden/>
    <w:unhideWhenUsed/>
    <w:qFormat/>
    <w:rsid w:val="008063BA"/>
    <w:pPr>
      <w:keepNext/>
      <w:keepLines/>
      <w:spacing w:before="40" w:line="278" w:lineRule="auto"/>
      <w:ind w:firstLineChars="0" w:firstLine="0"/>
      <w:jc w:val="left"/>
      <w:outlineLvl w:val="6"/>
    </w:pPr>
    <w:rPr>
      <w:rFonts w:asciiTheme="minorHAnsi" w:eastAsiaTheme="minorEastAsia" w:hAnsiTheme="minorHAnsi" w:cstheme="majorBidi"/>
      <w:b/>
      <w:bCs/>
      <w:color w:val="595959" w:themeColor="text1" w:themeTint="A6"/>
      <w:sz w:val="22"/>
    </w:rPr>
  </w:style>
  <w:style w:type="paragraph" w:styleId="Heading8">
    <w:name w:val="heading 8"/>
    <w:basedOn w:val="Normal"/>
    <w:next w:val="Normal"/>
    <w:link w:val="Heading8Char"/>
    <w:uiPriority w:val="9"/>
    <w:semiHidden/>
    <w:unhideWhenUsed/>
    <w:qFormat/>
    <w:rsid w:val="008063BA"/>
    <w:pPr>
      <w:keepNext/>
      <w:keepLines/>
      <w:spacing w:line="278" w:lineRule="auto"/>
      <w:ind w:firstLineChars="0" w:firstLine="0"/>
      <w:jc w:val="left"/>
      <w:outlineLvl w:val="7"/>
    </w:pPr>
    <w:rPr>
      <w:rFonts w:asciiTheme="minorHAnsi" w:eastAsiaTheme="minorEastAsia" w:hAnsiTheme="minorHAnsi" w:cstheme="majorBidi"/>
      <w:color w:val="595959" w:themeColor="text1" w:themeTint="A6"/>
      <w:sz w:val="22"/>
    </w:rPr>
  </w:style>
  <w:style w:type="paragraph" w:styleId="Heading9">
    <w:name w:val="heading 9"/>
    <w:basedOn w:val="Normal"/>
    <w:next w:val="Normal"/>
    <w:link w:val="Heading9Char"/>
    <w:uiPriority w:val="9"/>
    <w:semiHidden/>
    <w:unhideWhenUsed/>
    <w:qFormat/>
    <w:rsid w:val="008063BA"/>
    <w:pPr>
      <w:keepNext/>
      <w:keepLines/>
      <w:spacing w:line="278" w:lineRule="auto"/>
      <w:ind w:firstLineChars="0" w:firstLine="0"/>
      <w:jc w:val="left"/>
      <w:outlineLvl w:val="8"/>
    </w:pPr>
    <w:rPr>
      <w:rFonts w:asciiTheme="minorHAnsi" w:eastAsiaTheme="majorEastAsia" w:hAnsiTheme="minorHAnsi" w:cstheme="majorBidi"/>
      <w:color w:val="595959" w:themeColor="text1" w:themeTint="A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0"/>
    <w:autoRedefine/>
    <w:qFormat/>
    <w:rsid w:val="0036288F"/>
    <w:pPr>
      <w:wordWrap w:val="0"/>
      <w:spacing w:before="100" w:beforeAutospacing="1" w:after="100" w:afterAutospacing="1" w:line="240" w:lineRule="auto"/>
      <w:ind w:left="200" w:hangingChars="200" w:hanging="200"/>
    </w:pPr>
    <w:rPr>
      <w:rFonts w:eastAsia="SimSun" w:cs="Times New Roman"/>
      <w:noProof/>
    </w:rPr>
  </w:style>
  <w:style w:type="character" w:customStyle="1" w:styleId="EndNoteBibliography0">
    <w:name w:val="EndNote Bibliography 字符"/>
    <w:basedOn w:val="DefaultParagraphFont"/>
    <w:link w:val="EndNoteBibliography"/>
    <w:rsid w:val="0036288F"/>
    <w:rPr>
      <w:rFonts w:ascii="Times New Roman" w:eastAsia="SimSun" w:hAnsi="Times New Roman" w:cs="Times New Roman"/>
      <w:noProof/>
      <w:sz w:val="24"/>
    </w:rPr>
  </w:style>
  <w:style w:type="character" w:customStyle="1" w:styleId="Heading1Char">
    <w:name w:val="Heading 1 Char"/>
    <w:basedOn w:val="DefaultParagraphFont"/>
    <w:link w:val="Heading1"/>
    <w:uiPriority w:val="9"/>
    <w:rsid w:val="00F319E7"/>
    <w:rPr>
      <w:rFonts w:ascii="Times New Roman" w:eastAsia="SimSun" w:hAnsi="Times New Roman" w:cstheme="majorBidi"/>
      <w:sz w:val="24"/>
      <w:szCs w:val="48"/>
    </w:rPr>
  </w:style>
  <w:style w:type="character" w:customStyle="1" w:styleId="Heading2Char">
    <w:name w:val="Heading 2 Char"/>
    <w:basedOn w:val="DefaultParagraphFont"/>
    <w:link w:val="Heading2"/>
    <w:uiPriority w:val="9"/>
    <w:rsid w:val="004157C1"/>
    <w:rPr>
      <w:rFonts w:ascii="Times New Roman" w:eastAsia="SimSun" w:hAnsi="Times New Roman" w:cstheme="majorBidi"/>
      <w:sz w:val="24"/>
      <w:szCs w:val="40"/>
    </w:rPr>
  </w:style>
  <w:style w:type="character" w:customStyle="1" w:styleId="Heading3Char">
    <w:name w:val="Heading 3 Char"/>
    <w:basedOn w:val="DefaultParagraphFont"/>
    <w:link w:val="Heading3"/>
    <w:uiPriority w:val="9"/>
    <w:semiHidden/>
    <w:rsid w:val="008063B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8063B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8063BA"/>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8063B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8063BA"/>
    <w:rPr>
      <w:rFonts w:cstheme="majorBidi"/>
      <w:b/>
      <w:bCs/>
      <w:color w:val="595959" w:themeColor="text1" w:themeTint="A6"/>
    </w:rPr>
  </w:style>
  <w:style w:type="character" w:customStyle="1" w:styleId="Heading8Char">
    <w:name w:val="Heading 8 Char"/>
    <w:basedOn w:val="DefaultParagraphFont"/>
    <w:link w:val="Heading8"/>
    <w:uiPriority w:val="9"/>
    <w:semiHidden/>
    <w:rsid w:val="008063BA"/>
    <w:rPr>
      <w:rFonts w:cstheme="majorBidi"/>
      <w:color w:val="595959" w:themeColor="text1" w:themeTint="A6"/>
    </w:rPr>
  </w:style>
  <w:style w:type="character" w:customStyle="1" w:styleId="Heading9Char">
    <w:name w:val="Heading 9 Char"/>
    <w:basedOn w:val="DefaultParagraphFont"/>
    <w:link w:val="Heading9"/>
    <w:uiPriority w:val="9"/>
    <w:semiHidden/>
    <w:rsid w:val="008063BA"/>
    <w:rPr>
      <w:rFonts w:eastAsiaTheme="majorEastAsia" w:cstheme="majorBidi"/>
      <w:color w:val="595959" w:themeColor="text1" w:themeTint="A6"/>
    </w:rPr>
  </w:style>
  <w:style w:type="paragraph" w:styleId="Title">
    <w:name w:val="Title"/>
    <w:basedOn w:val="Normal"/>
    <w:next w:val="Normal"/>
    <w:link w:val="TitleChar"/>
    <w:uiPriority w:val="10"/>
    <w:qFormat/>
    <w:rsid w:val="008063BA"/>
    <w:pPr>
      <w:spacing w:after="80" w:line="240" w:lineRule="auto"/>
      <w:ind w:firstLineChars="0" w:firstLine="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3BA"/>
    <w:pPr>
      <w:numPr>
        <w:ilvl w:val="1"/>
      </w:numPr>
      <w:spacing w:after="160" w:line="278" w:lineRule="auto"/>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3B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8063BA"/>
    <w:pPr>
      <w:spacing w:before="160" w:after="160" w:line="278" w:lineRule="auto"/>
      <w:ind w:firstLineChars="0" w:firstLine="0"/>
      <w:jc w:val="center"/>
    </w:pPr>
    <w:rPr>
      <w:rFonts w:asciiTheme="minorHAnsi" w:eastAsiaTheme="minorEastAsia" w:hAnsiTheme="minorHAnsi"/>
      <w:i/>
      <w:iCs/>
      <w:color w:val="404040" w:themeColor="text1" w:themeTint="BF"/>
      <w:sz w:val="22"/>
    </w:rPr>
  </w:style>
  <w:style w:type="character" w:customStyle="1" w:styleId="QuoteChar">
    <w:name w:val="Quote Char"/>
    <w:basedOn w:val="DefaultParagraphFont"/>
    <w:link w:val="Quote"/>
    <w:uiPriority w:val="29"/>
    <w:rsid w:val="008063BA"/>
    <w:rPr>
      <w:i/>
      <w:iCs/>
      <w:color w:val="404040" w:themeColor="text1" w:themeTint="BF"/>
    </w:rPr>
  </w:style>
  <w:style w:type="paragraph" w:styleId="ListParagraph">
    <w:name w:val="List Paragraph"/>
    <w:basedOn w:val="Normal"/>
    <w:uiPriority w:val="34"/>
    <w:qFormat/>
    <w:rsid w:val="008063BA"/>
    <w:pPr>
      <w:spacing w:after="160" w:line="278" w:lineRule="auto"/>
      <w:ind w:left="720" w:firstLineChars="0" w:firstLine="0"/>
      <w:contextualSpacing/>
      <w:jc w:val="left"/>
    </w:pPr>
    <w:rPr>
      <w:rFonts w:asciiTheme="minorHAnsi" w:eastAsiaTheme="minorEastAsia" w:hAnsiTheme="minorHAnsi"/>
      <w:sz w:val="22"/>
    </w:rPr>
  </w:style>
  <w:style w:type="character" w:styleId="IntenseEmphasis">
    <w:name w:val="Intense Emphasis"/>
    <w:basedOn w:val="DefaultParagraphFont"/>
    <w:uiPriority w:val="21"/>
    <w:qFormat/>
    <w:rsid w:val="008063BA"/>
    <w:rPr>
      <w:i/>
      <w:iCs/>
      <w:color w:val="0F4761" w:themeColor="accent1" w:themeShade="BF"/>
    </w:rPr>
  </w:style>
  <w:style w:type="paragraph" w:styleId="IntenseQuote">
    <w:name w:val="Intense Quote"/>
    <w:basedOn w:val="Normal"/>
    <w:next w:val="Normal"/>
    <w:link w:val="IntenseQuoteChar"/>
    <w:uiPriority w:val="30"/>
    <w:qFormat/>
    <w:rsid w:val="008063BA"/>
    <w:pPr>
      <w:pBdr>
        <w:top w:val="single" w:sz="4" w:space="10" w:color="0F4761" w:themeColor="accent1" w:themeShade="BF"/>
        <w:bottom w:val="single" w:sz="4" w:space="10" w:color="0F4761" w:themeColor="accent1" w:themeShade="BF"/>
      </w:pBdr>
      <w:spacing w:before="360" w:after="360" w:line="278" w:lineRule="auto"/>
      <w:ind w:left="864" w:right="864" w:firstLineChars="0" w:firstLine="0"/>
      <w:jc w:val="center"/>
    </w:pPr>
    <w:rPr>
      <w:rFonts w:asciiTheme="minorHAnsi" w:eastAsiaTheme="minorEastAsia" w:hAnsiTheme="minorHAnsi"/>
      <w:i/>
      <w:iCs/>
      <w:color w:val="0F4761" w:themeColor="accent1" w:themeShade="BF"/>
      <w:sz w:val="22"/>
    </w:rPr>
  </w:style>
  <w:style w:type="character" w:customStyle="1" w:styleId="IntenseQuoteChar">
    <w:name w:val="Intense Quote Char"/>
    <w:basedOn w:val="DefaultParagraphFont"/>
    <w:link w:val="IntenseQuote"/>
    <w:uiPriority w:val="30"/>
    <w:rsid w:val="008063BA"/>
    <w:rPr>
      <w:i/>
      <w:iCs/>
      <w:color w:val="0F4761" w:themeColor="accent1" w:themeShade="BF"/>
    </w:rPr>
  </w:style>
  <w:style w:type="character" w:styleId="IntenseReference">
    <w:name w:val="Intense Reference"/>
    <w:basedOn w:val="DefaultParagraphFont"/>
    <w:uiPriority w:val="32"/>
    <w:qFormat/>
    <w:rsid w:val="008063BA"/>
    <w:rPr>
      <w:b/>
      <w:bCs/>
      <w:smallCaps/>
      <w:color w:val="0F4761" w:themeColor="accent1" w:themeShade="BF"/>
      <w:spacing w:val="5"/>
    </w:rPr>
  </w:style>
  <w:style w:type="paragraph" w:styleId="Header">
    <w:name w:val="header"/>
    <w:basedOn w:val="Normal"/>
    <w:link w:val="HeaderChar"/>
    <w:uiPriority w:val="99"/>
    <w:unhideWhenUsed/>
    <w:rsid w:val="00DB0433"/>
    <w:pPr>
      <w:tabs>
        <w:tab w:val="center" w:pos="4153"/>
        <w:tab w:val="right" w:pos="8306"/>
      </w:tabs>
      <w:snapToGrid w:val="0"/>
      <w:spacing w:after="160" w:line="240" w:lineRule="auto"/>
      <w:ind w:firstLineChars="0" w:firstLine="0"/>
      <w:jc w:val="center"/>
    </w:pPr>
    <w:rPr>
      <w:rFonts w:asciiTheme="minorHAnsi" w:eastAsiaTheme="minorEastAsia" w:hAnsiTheme="minorHAnsi"/>
      <w:sz w:val="18"/>
      <w:szCs w:val="18"/>
    </w:rPr>
  </w:style>
  <w:style w:type="character" w:customStyle="1" w:styleId="HeaderChar">
    <w:name w:val="Header Char"/>
    <w:basedOn w:val="DefaultParagraphFont"/>
    <w:link w:val="Header"/>
    <w:uiPriority w:val="99"/>
    <w:rsid w:val="00DB0433"/>
    <w:rPr>
      <w:sz w:val="18"/>
      <w:szCs w:val="18"/>
    </w:rPr>
  </w:style>
  <w:style w:type="paragraph" w:styleId="Footer">
    <w:name w:val="footer"/>
    <w:basedOn w:val="Normal"/>
    <w:link w:val="FooterChar"/>
    <w:uiPriority w:val="99"/>
    <w:unhideWhenUsed/>
    <w:rsid w:val="00DB0433"/>
    <w:pPr>
      <w:tabs>
        <w:tab w:val="center" w:pos="4153"/>
        <w:tab w:val="right" w:pos="8306"/>
      </w:tabs>
      <w:snapToGrid w:val="0"/>
      <w:spacing w:after="160" w:line="240" w:lineRule="auto"/>
      <w:ind w:firstLineChars="0" w:firstLine="0"/>
      <w:jc w:val="left"/>
    </w:pPr>
    <w:rPr>
      <w:rFonts w:asciiTheme="minorHAnsi" w:eastAsiaTheme="minorEastAsia" w:hAnsiTheme="minorHAnsi"/>
      <w:sz w:val="18"/>
      <w:szCs w:val="18"/>
    </w:rPr>
  </w:style>
  <w:style w:type="character" w:customStyle="1" w:styleId="FooterChar">
    <w:name w:val="Footer Char"/>
    <w:basedOn w:val="DefaultParagraphFont"/>
    <w:link w:val="Footer"/>
    <w:uiPriority w:val="99"/>
    <w:rsid w:val="00DB0433"/>
    <w:rPr>
      <w:sz w:val="18"/>
      <w:szCs w:val="18"/>
    </w:rPr>
  </w:style>
  <w:style w:type="table" w:styleId="TableGrid">
    <w:name w:val="Table Grid"/>
    <w:basedOn w:val="TableNormal"/>
    <w:uiPriority w:val="39"/>
    <w:qFormat/>
    <w:rsid w:val="00DB0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es">
    <w:name w:val="毕业论文-yes"/>
    <w:basedOn w:val="TableNormal"/>
    <w:uiPriority w:val="99"/>
    <w:rsid w:val="00DB0433"/>
    <w:pPr>
      <w:spacing w:after="0" w:line="240" w:lineRule="auto"/>
      <w:jc w:val="center"/>
    </w:pPr>
    <w:rPr>
      <w:rFonts w:ascii="Times New Roman" w:eastAsia="SimSun" w:hAnsi="Times New Roman"/>
      <w:kern w:val="0"/>
      <w:sz w:val="21"/>
      <w:szCs w:val="20"/>
      <w14:ligatures w14:val="none"/>
    </w:rPr>
    <w:tblPr>
      <w:jc w:val="center"/>
      <w:tblBorders>
        <w:top w:val="single" w:sz="8" w:space="0" w:color="auto"/>
        <w:bottom w:val="single" w:sz="8" w:space="0" w:color="auto"/>
      </w:tblBorders>
      <w:tblCellMar>
        <w:left w:w="57" w:type="dxa"/>
        <w:right w:w="57" w:type="dxa"/>
      </w:tblCellMar>
    </w:tblPr>
    <w:trPr>
      <w:jc w:val="center"/>
    </w:trPr>
    <w:tblStylePr w:type="firstRow">
      <w:tblPr/>
      <w:tcPr>
        <w:tcBorders>
          <w:bottom w:val="single" w:sz="4" w:space="0" w:color="auto"/>
        </w:tcBorders>
      </w:tcPr>
    </w:tblStylePr>
  </w:style>
  <w:style w:type="character" w:styleId="CommentReference">
    <w:name w:val="annotation reference"/>
    <w:basedOn w:val="DefaultParagraphFont"/>
    <w:uiPriority w:val="99"/>
    <w:semiHidden/>
    <w:unhideWhenUsed/>
    <w:qFormat/>
    <w:rsid w:val="00DB0433"/>
    <w:rPr>
      <w:sz w:val="21"/>
      <w:szCs w:val="21"/>
    </w:rPr>
  </w:style>
  <w:style w:type="paragraph" w:styleId="CommentText">
    <w:name w:val="annotation text"/>
    <w:basedOn w:val="Normal"/>
    <w:link w:val="CommentTextChar"/>
    <w:uiPriority w:val="99"/>
    <w:unhideWhenUsed/>
    <w:rsid w:val="00DB0433"/>
    <w:pPr>
      <w:jc w:val="left"/>
    </w:pPr>
  </w:style>
  <w:style w:type="character" w:customStyle="1" w:styleId="CommentTextChar">
    <w:name w:val="Comment Text Char"/>
    <w:basedOn w:val="DefaultParagraphFont"/>
    <w:link w:val="CommentText"/>
    <w:uiPriority w:val="99"/>
    <w:rsid w:val="00DB0433"/>
    <w:rPr>
      <w:rFonts w:ascii="Times New Roman" w:eastAsia="Times New Roman" w:hAnsi="Times New Roman"/>
      <w:sz w:val="24"/>
    </w:rPr>
  </w:style>
  <w:style w:type="paragraph" w:customStyle="1" w:styleId="EndNoteBibliographyTitle">
    <w:name w:val="EndNote Bibliography Title"/>
    <w:basedOn w:val="Normal"/>
    <w:link w:val="EndNoteBibliographyTitle0"/>
    <w:rsid w:val="006B17DC"/>
    <w:pPr>
      <w:jc w:val="center"/>
    </w:pPr>
    <w:rPr>
      <w:rFonts w:cs="Times New Roman"/>
      <w:noProof/>
    </w:rPr>
  </w:style>
  <w:style w:type="character" w:customStyle="1" w:styleId="EndNoteBibliographyTitle0">
    <w:name w:val="EndNote Bibliography Title 字符"/>
    <w:basedOn w:val="DefaultParagraphFont"/>
    <w:link w:val="EndNoteBibliographyTitle"/>
    <w:rsid w:val="006B17DC"/>
    <w:rPr>
      <w:rFonts w:ascii="Times New Roman" w:eastAsia="Times New Roman" w:hAnsi="Times New Roman" w:cs="Times New Roman"/>
      <w:noProof/>
      <w:sz w:val="24"/>
    </w:rPr>
  </w:style>
  <w:style w:type="character" w:styleId="LineNumber">
    <w:name w:val="line number"/>
    <w:basedOn w:val="DefaultParagraphFont"/>
    <w:uiPriority w:val="99"/>
    <w:semiHidden/>
    <w:unhideWhenUsed/>
    <w:rsid w:val="004910F2"/>
  </w:style>
  <w:style w:type="table" w:customStyle="1" w:styleId="1">
    <w:name w:val="网格型1"/>
    <w:basedOn w:val="TableNormal"/>
    <w:next w:val="TableGrid"/>
    <w:uiPriority w:val="39"/>
    <w:qFormat/>
    <w:rsid w:val="00DA17FF"/>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tif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tif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CCB6D-B6F0-4EBD-A5BD-C2C3B54D9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Pages>
  <Words>6529</Words>
  <Characters>37220</Characters>
  <Application>Microsoft Office Word</Application>
  <DocSecurity>0</DocSecurity>
  <Lines>310</Lines>
  <Paragraphs>87</Paragraphs>
  <ScaleCrop>false</ScaleCrop>
  <Company/>
  <LinksUpToDate>false</LinksUpToDate>
  <CharactersWithSpaces>43662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Zewen Wang</dc:creator>
  <cp:keywords/>
  <dc:description/>
  <cp:lastModifiedBy>Sumithra Dhandapani</cp:lastModifiedBy>
  <cp:revision>80</cp:revision>
  <dcterms:created xsi:type="dcterms:W3CDTF">2025-10-24T12:48:00Z</dcterms:created>
  <dcterms:modified xsi:type="dcterms:W3CDTF">2026-08-04T09:35:00Z</dcterms:modified>
</cp:coreProperties>
</file>