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A0FFC" w:rsidP="005A0FFC" w:rsidRDefault="005A0FFC" w14:paraId="280BCD6A" w14:textId="77777777">
      <w:pPr>
        <w:pStyle w:val="Heading2"/>
      </w:pPr>
      <w:r>
        <w:t>Delphi Expert Elicitation Detailed Method</w:t>
      </w:r>
    </w:p>
    <w:p w:rsidR="005A0FFC" w:rsidP="005A0FFC" w:rsidRDefault="005A0FFC" w14:paraId="67D431F9" w14:textId="5B9E72C9">
      <w:pPr>
        <w:spacing w:line="480" w:lineRule="auto"/>
        <w:rPr>
          <w:rFonts w:ascii="Calibri" w:hAnsi="Calibri" w:eastAsia="Times New Roman" w:cs="Calibri"/>
          <w:color w:val="000000" w:themeColor="text1"/>
        </w:rPr>
      </w:pPr>
      <w:r w:rsidRPr="00D26507">
        <w:t>The same procedure</w:t>
      </w:r>
      <w:r>
        <w:t>s</w:t>
      </w:r>
      <w:r w:rsidRPr="00D26507">
        <w:t xml:space="preserve"> w</w:t>
      </w:r>
      <w:r>
        <w:t>ere</w:t>
      </w:r>
      <w:r w:rsidRPr="00D26507">
        <w:t xml:space="preserve"> used for both </w:t>
      </w:r>
      <w:r w:rsidR="006E13F2">
        <w:t>c</w:t>
      </w:r>
      <w:r w:rsidR="00EC13F0">
        <w:t>ropland</w:t>
      </w:r>
      <w:r w:rsidRPr="00D26507">
        <w:t xml:space="preserve"> and </w:t>
      </w:r>
      <w:r w:rsidR="00EC13F0">
        <w:t>grazing land</w:t>
      </w:r>
      <w:r w:rsidRPr="00D26507">
        <w:t xml:space="preserve"> unless noted</w:t>
      </w:r>
      <w:r>
        <w:t xml:space="preserve">.  The first round used a questionnaire in Google Forms.  We analyzed expert responses to the questionnaire to change categorical values to numeric values describing the tree of reference in the system, height, and width, and calculated the area of the tree crowns.  We generated a scaled percent tree cover over one hectare for tree cover in boundaries using the tree crown area, spacing between trees, and the average field size given by the expert. We used the expert’s specifications for percent tree canopy cover in fields (either in trees/ha or row spacing), combined with the tree crown area, to get the estimated optimal percent tree cover.  In order to adjust the tree cover in fields for mechanization, we asked experts to provide two different </w:t>
      </w:r>
      <w:r w:rsidRPr="00852033">
        <w:t>estimations</w:t>
      </w:r>
      <w:r>
        <w:t xml:space="preserve">, one for trees in fields with mechanization, and one for trees in fields without mechanization, and how common mechanization was in the cropland in their region.  </w:t>
      </w:r>
      <w:r w:rsidRPr="3466351F">
        <w:rPr>
          <w:rFonts w:ascii="Calibri" w:hAnsi="Calibri" w:eastAsia="Times New Roman" w:cs="Calibri"/>
          <w:color w:val="000000" w:themeColor="text1"/>
        </w:rPr>
        <w:t xml:space="preserve">We then used this ratio to apply the expert’s </w:t>
      </w:r>
      <w:r w:rsidRPr="00852033">
        <w:t>estimations</w:t>
      </w:r>
      <w:r w:rsidRPr="3466351F" w:rsidDel="000F4152">
        <w:rPr>
          <w:rFonts w:ascii="Calibri" w:hAnsi="Calibri" w:eastAsia="Times New Roman" w:cs="Calibri"/>
          <w:color w:val="000000" w:themeColor="text1"/>
        </w:rPr>
        <w:t xml:space="preserve"> </w:t>
      </w:r>
      <w:r w:rsidRPr="3466351F">
        <w:rPr>
          <w:rFonts w:ascii="Calibri" w:hAnsi="Calibri" w:eastAsia="Times New Roman" w:cs="Calibri"/>
          <w:color w:val="000000" w:themeColor="text1"/>
        </w:rPr>
        <w:t xml:space="preserve">‘with mechanization’ to the respective fraction of the cropped area that they Indicated was mechanized, and their </w:t>
      </w:r>
      <w:r w:rsidRPr="00852033">
        <w:t>estimation</w:t>
      </w:r>
      <w:r w:rsidRPr="3466351F">
        <w:rPr>
          <w:rFonts w:ascii="Calibri" w:hAnsi="Calibri" w:eastAsia="Times New Roman" w:cs="Calibri"/>
          <w:color w:val="000000" w:themeColor="text1"/>
        </w:rPr>
        <w:t xml:space="preserve"> for areas ‘without mechanization’ to the remaining fraction.  This gave us their final optimal </w:t>
      </w:r>
      <w:r>
        <w:t xml:space="preserve">percent tree canopy cover </w:t>
      </w:r>
      <w:r w:rsidRPr="3466351F">
        <w:rPr>
          <w:rFonts w:ascii="Calibri" w:hAnsi="Calibri" w:eastAsia="Times New Roman" w:cs="Calibri"/>
          <w:i/>
          <w:iCs/>
          <w:color w:val="000000" w:themeColor="text1"/>
        </w:rPr>
        <w:t>with mechanization to scale</w:t>
      </w:r>
      <w:r w:rsidRPr="3466351F">
        <w:rPr>
          <w:rFonts w:ascii="Calibri" w:hAnsi="Calibri" w:eastAsia="Times New Roman" w:cs="Calibri"/>
          <w:color w:val="000000" w:themeColor="text1"/>
        </w:rPr>
        <w:t>.  Finally, we generated the total expert-</w:t>
      </w:r>
      <w:r w:rsidRPr="00756E54">
        <w:t xml:space="preserve"> </w:t>
      </w:r>
      <w:r>
        <w:t xml:space="preserve">estimated optimal </w:t>
      </w:r>
      <w:r w:rsidRPr="3466351F">
        <w:rPr>
          <w:rFonts w:ascii="Calibri" w:hAnsi="Calibri" w:eastAsia="Times New Roman" w:cs="Calibri"/>
          <w:color w:val="000000" w:themeColor="text1"/>
        </w:rPr>
        <w:t>tree covers by adding the scaled border and field % cover values.</w:t>
      </w:r>
    </w:p>
    <w:p w:rsidR="005A0FFC" w:rsidP="005A0FFC" w:rsidRDefault="005A0FFC" w14:paraId="528E0ED3" w14:textId="77777777">
      <w:pPr>
        <w:spacing w:line="480" w:lineRule="auto"/>
      </w:pPr>
      <w:r w:rsidRPr="3466351F">
        <w:rPr>
          <w:rFonts w:ascii="Calibri" w:hAnsi="Calibri" w:eastAsia="Times New Roman" w:cs="Calibri"/>
          <w:color w:val="000000" w:themeColor="text1"/>
        </w:rPr>
        <w:t xml:space="preserve">If we had only one expert in a biome-continent region, the lead author contributed as an expert input based on </w:t>
      </w:r>
      <w:r>
        <w:t xml:space="preserve">relevant literature to add a second value, so that each participating expert could compare their results to others.  </w:t>
      </w:r>
    </w:p>
    <w:p w:rsidR="005A0FFC" w:rsidP="005A0FFC" w:rsidRDefault="005A0FFC" w14:paraId="2EDB87AD" w14:textId="77777777">
      <w:pPr>
        <w:spacing w:line="480" w:lineRule="auto"/>
      </w:pPr>
      <w:r w:rsidRPr="007E7DD7">
        <w:rPr>
          <w:i/>
          <w:iCs/>
        </w:rPr>
        <w:t xml:space="preserve">Tree </w:t>
      </w:r>
      <w:r>
        <w:rPr>
          <w:i/>
          <w:iCs/>
        </w:rPr>
        <w:t xml:space="preserve">of Reference </w:t>
      </w:r>
      <w:r w:rsidRPr="007E7DD7">
        <w:rPr>
          <w:i/>
          <w:iCs/>
        </w:rPr>
        <w:t>Parameters:</w:t>
      </w:r>
      <w:r>
        <w:t xml:space="preserve"> Experts gave categorical responses for average realized mature tree height and width, with a range of meters given in each category.  We took the average of the range to give a specific height and width in meters, and used these to calculate the tree area in square meters, </w:t>
      </w:r>
      <w:r w:rsidRPr="00A7730D">
        <w:t>assum</w:t>
      </w:r>
      <w:r>
        <w:t>ing that</w:t>
      </w:r>
      <w:r w:rsidRPr="00A7730D">
        <w:t xml:space="preserve"> trees are circ</w:t>
      </w:r>
      <w:r>
        <w:t>ular</w:t>
      </w:r>
      <w:r w:rsidRPr="00A7730D">
        <w:t xml:space="preserve"> </w:t>
      </w:r>
      <w:r>
        <w:t>a</w:t>
      </w:r>
      <w:r w:rsidRPr="00A7730D">
        <w:t>nd ha</w:t>
      </w:r>
      <w:r>
        <w:t>ve</w:t>
      </w:r>
      <w:r w:rsidRPr="00A7730D">
        <w:t xml:space="preserve"> 100% cover inside the area of the circle</w:t>
      </w:r>
      <w:r>
        <w:t xml:space="preserve"> (</w:t>
      </w:r>
      <w:r w:rsidRPr="00A7730D">
        <w:t>Tree area (m</w:t>
      </w:r>
      <w:r w:rsidRPr="00340FB5">
        <w:rPr>
          <w:vertAlign w:val="superscript"/>
        </w:rPr>
        <w:t>2</w:t>
      </w:r>
      <w:r w:rsidRPr="00A7730D">
        <w:t>) =</w:t>
      </w:r>
      <w:r>
        <w:t xml:space="preserve"> </w:t>
      </w:r>
      <w:r w:rsidRPr="00A7730D">
        <w:t>=((Width(M)/2)^2)*3.14159265359</w:t>
      </w:r>
      <w:r>
        <w:t>).  The exact values for “Tree Average Mature Height (m)”, “Tree Average Mature Width (m)”, and “Tree Crown Area (</w:t>
      </w:r>
      <w:r w:rsidRPr="00A7730D">
        <w:t>m</w:t>
      </w:r>
      <w:r w:rsidRPr="00340FB5">
        <w:rPr>
          <w:vertAlign w:val="superscript"/>
        </w:rPr>
        <w:t>2</w:t>
      </w:r>
      <w:r>
        <w:t>)” were shared with the experts for validation in Round 2.</w:t>
      </w:r>
    </w:p>
    <w:p w:rsidRPr="00A7730D" w:rsidR="005A0FFC" w:rsidP="005A0FFC" w:rsidRDefault="005A0FFC" w14:paraId="36F0B537" w14:textId="77777777">
      <w:pPr>
        <w:spacing w:line="480" w:lineRule="auto"/>
        <w:rPr>
          <w:rFonts w:ascii="Calibri" w:hAnsi="Calibri" w:eastAsia="Times New Roman" w:cs="Calibri"/>
          <w:color w:val="000000"/>
        </w:rPr>
      </w:pPr>
      <w:r>
        <w:rPr>
          <w:i/>
          <w:iCs/>
        </w:rPr>
        <w:t xml:space="preserve">Generating Scaled Percent </w:t>
      </w:r>
      <w:r w:rsidRPr="007E7DD7">
        <w:rPr>
          <w:i/>
          <w:iCs/>
        </w:rPr>
        <w:t>Tree</w:t>
      </w:r>
      <w:r>
        <w:rPr>
          <w:i/>
          <w:iCs/>
        </w:rPr>
        <w:t xml:space="preserve"> Cover</w:t>
      </w:r>
      <w:r w:rsidRPr="007E7DD7">
        <w:rPr>
          <w:i/>
          <w:iCs/>
        </w:rPr>
        <w:t xml:space="preserve"> in Boundaries:</w:t>
      </w:r>
      <w:r>
        <w:t xml:space="preserve"> Experts gave the optimal spacing of trees in boundaries as a function of the tree crown canopy width (tight, closed, or ‘open’ with a specified distance in m).  All were converted into a distance between tree trunks in m.  </w:t>
      </w:r>
      <w:r>
        <w:rPr>
          <w:rFonts w:ascii="Calibri" w:hAnsi="Calibri" w:eastAsia="Times New Roman" w:cs="Calibri"/>
          <w:color w:val="000000"/>
        </w:rPr>
        <w:t>We c</w:t>
      </w:r>
      <w:r w:rsidRPr="00A7730D">
        <w:rPr>
          <w:rFonts w:ascii="Calibri" w:hAnsi="Calibri" w:eastAsia="Times New Roman" w:cs="Calibri"/>
          <w:color w:val="000000"/>
        </w:rPr>
        <w:t>alculate</w:t>
      </w:r>
      <w:r>
        <w:rPr>
          <w:rFonts w:ascii="Calibri" w:hAnsi="Calibri" w:eastAsia="Times New Roman" w:cs="Calibri"/>
          <w:color w:val="000000"/>
        </w:rPr>
        <w:t>d the</w:t>
      </w:r>
      <w:r w:rsidRPr="00A7730D">
        <w:rPr>
          <w:rFonts w:ascii="Calibri" w:hAnsi="Calibri" w:eastAsia="Times New Roman" w:cs="Calibri"/>
          <w:color w:val="000000"/>
        </w:rPr>
        <w:t xml:space="preserve"> </w:t>
      </w:r>
      <w:r>
        <w:rPr>
          <w:rFonts w:ascii="Calibri" w:hAnsi="Calibri" w:eastAsia="Times New Roman" w:cs="Calibri"/>
          <w:color w:val="000000"/>
        </w:rPr>
        <w:t>b</w:t>
      </w:r>
      <w:r w:rsidRPr="00A7730D">
        <w:rPr>
          <w:rFonts w:ascii="Calibri" w:hAnsi="Calibri" w:eastAsia="Times New Roman" w:cs="Calibri"/>
          <w:color w:val="000000"/>
        </w:rPr>
        <w:t xml:space="preserve">order </w:t>
      </w:r>
      <w:r>
        <w:rPr>
          <w:rFonts w:ascii="Calibri" w:hAnsi="Calibri" w:eastAsia="Times New Roman" w:cs="Calibri"/>
          <w:color w:val="000000"/>
        </w:rPr>
        <w:t>t</w:t>
      </w:r>
      <w:r w:rsidRPr="00A7730D">
        <w:rPr>
          <w:rFonts w:ascii="Calibri" w:hAnsi="Calibri" w:eastAsia="Times New Roman" w:cs="Calibri"/>
          <w:color w:val="000000"/>
        </w:rPr>
        <w:t xml:space="preserve">ree </w:t>
      </w:r>
      <w:r>
        <w:rPr>
          <w:rFonts w:ascii="Calibri" w:hAnsi="Calibri" w:eastAsia="Times New Roman" w:cs="Calibri"/>
          <w:color w:val="000000"/>
        </w:rPr>
        <w:t>c</w:t>
      </w:r>
      <w:r w:rsidRPr="00A7730D">
        <w:rPr>
          <w:rFonts w:ascii="Calibri" w:hAnsi="Calibri" w:eastAsia="Times New Roman" w:cs="Calibri"/>
          <w:color w:val="000000"/>
        </w:rPr>
        <w:t>over for 1 ha field</w:t>
      </w:r>
      <w:r>
        <w:rPr>
          <w:rFonts w:ascii="Calibri" w:hAnsi="Calibri" w:eastAsia="Times New Roman" w:cs="Calibri"/>
          <w:color w:val="000000"/>
        </w:rPr>
        <w:t xml:space="preserve"> multiplying h</w:t>
      </w:r>
      <w:r w:rsidRPr="00A7730D">
        <w:rPr>
          <w:rFonts w:ascii="Calibri" w:hAnsi="Calibri" w:eastAsia="Times New Roman" w:cs="Calibri"/>
          <w:color w:val="000000"/>
        </w:rPr>
        <w:t xml:space="preserve">alf of tree area </w:t>
      </w:r>
      <w:r>
        <w:rPr>
          <w:rFonts w:ascii="Calibri" w:hAnsi="Calibri" w:eastAsia="Times New Roman" w:cs="Calibri"/>
          <w:color w:val="000000"/>
        </w:rPr>
        <w:t>in m</w:t>
      </w:r>
      <w:r w:rsidRPr="000268AB">
        <w:rPr>
          <w:rFonts w:ascii="Calibri" w:hAnsi="Calibri" w:eastAsia="Times New Roman" w:cs="Calibri"/>
          <w:color w:val="000000"/>
          <w:vertAlign w:val="superscript"/>
        </w:rPr>
        <w:t>2</w:t>
      </w:r>
      <w:r>
        <w:rPr>
          <w:rFonts w:ascii="Calibri" w:hAnsi="Calibri" w:eastAsia="Times New Roman" w:cs="Calibri"/>
          <w:color w:val="000000"/>
        </w:rPr>
        <w:t xml:space="preserve"> </w:t>
      </w:r>
      <w:r w:rsidRPr="00A7730D">
        <w:rPr>
          <w:rFonts w:ascii="Calibri" w:hAnsi="Calibri" w:eastAsia="Times New Roman" w:cs="Calibri"/>
          <w:color w:val="000000"/>
        </w:rPr>
        <w:t>(because half of it would fall into the other field</w:t>
      </w:r>
      <w:r>
        <w:rPr>
          <w:rFonts w:ascii="Calibri" w:hAnsi="Calibri" w:eastAsia="Times New Roman" w:cs="Calibri"/>
          <w:color w:val="000000"/>
        </w:rPr>
        <w:t>,</w:t>
      </w:r>
      <w:r w:rsidRPr="00A7730D">
        <w:rPr>
          <w:rFonts w:ascii="Calibri" w:hAnsi="Calibri" w:eastAsia="Times New Roman" w:cs="Calibri"/>
          <w:color w:val="000000"/>
        </w:rPr>
        <w:t xml:space="preserve"> if it is along the boundary) </w:t>
      </w:r>
      <w:r>
        <w:rPr>
          <w:rFonts w:ascii="Calibri" w:hAnsi="Calibri" w:eastAsia="Times New Roman" w:cs="Calibri"/>
          <w:color w:val="000000"/>
        </w:rPr>
        <w:t>by</w:t>
      </w:r>
      <w:r w:rsidRPr="00A7730D">
        <w:rPr>
          <w:rFonts w:ascii="Calibri" w:hAnsi="Calibri" w:eastAsia="Times New Roman" w:cs="Calibri"/>
          <w:color w:val="000000"/>
        </w:rPr>
        <w:t xml:space="preserve"> the number of trees in the boundary (100</w:t>
      </w:r>
      <w:r>
        <w:rPr>
          <w:rFonts w:ascii="Calibri" w:hAnsi="Calibri" w:eastAsia="Times New Roman" w:cs="Calibri"/>
          <w:color w:val="000000"/>
        </w:rPr>
        <w:t xml:space="preserve"> m boundary on 1 ha field </w:t>
      </w:r>
      <w:r w:rsidRPr="00A7730D">
        <w:rPr>
          <w:rFonts w:ascii="Calibri" w:hAnsi="Calibri" w:eastAsia="Times New Roman" w:cs="Calibri"/>
          <w:color w:val="000000"/>
        </w:rPr>
        <w:t>/</w:t>
      </w:r>
      <w:r>
        <w:rPr>
          <w:rFonts w:ascii="Calibri" w:hAnsi="Calibri" w:eastAsia="Times New Roman" w:cs="Calibri"/>
          <w:color w:val="000000"/>
        </w:rPr>
        <w:t xml:space="preserve"> </w:t>
      </w:r>
      <w:r w:rsidRPr="00A7730D">
        <w:rPr>
          <w:rFonts w:ascii="Calibri" w:hAnsi="Calibri" w:eastAsia="Times New Roman" w:cs="Calibri"/>
          <w:color w:val="000000"/>
        </w:rPr>
        <w:t>tree spacing in boundary) times 4</w:t>
      </w:r>
      <w:r>
        <w:rPr>
          <w:rFonts w:ascii="Calibri" w:hAnsi="Calibri" w:eastAsia="Times New Roman" w:cs="Calibri"/>
          <w:color w:val="000000"/>
        </w:rPr>
        <w:t xml:space="preserve"> sides to the field;</w:t>
      </w:r>
      <w:r w:rsidRPr="00A7730D">
        <w:rPr>
          <w:rFonts w:ascii="Calibri" w:hAnsi="Calibri" w:eastAsia="Times New Roman" w:cs="Calibri"/>
          <w:color w:val="000000"/>
        </w:rPr>
        <w:t xml:space="preserve"> divided by 10</w:t>
      </w:r>
      <w:r>
        <w:rPr>
          <w:rFonts w:ascii="Calibri" w:hAnsi="Calibri" w:eastAsia="Times New Roman" w:cs="Calibri"/>
          <w:color w:val="000000"/>
        </w:rPr>
        <w:t>,</w:t>
      </w:r>
      <w:r w:rsidRPr="00A7730D">
        <w:rPr>
          <w:rFonts w:ascii="Calibri" w:hAnsi="Calibri" w:eastAsia="Times New Roman" w:cs="Calibri"/>
          <w:color w:val="000000"/>
        </w:rPr>
        <w:t xml:space="preserve">000 </w:t>
      </w:r>
      <w:r>
        <w:rPr>
          <w:rFonts w:ascii="Calibri" w:hAnsi="Calibri" w:eastAsia="Times New Roman" w:cs="Calibri"/>
          <w:color w:val="000000"/>
        </w:rPr>
        <w:t>m</w:t>
      </w:r>
      <w:r w:rsidRPr="000268AB">
        <w:rPr>
          <w:rFonts w:ascii="Calibri" w:hAnsi="Calibri" w:eastAsia="Times New Roman" w:cs="Calibri"/>
          <w:color w:val="000000"/>
          <w:vertAlign w:val="superscript"/>
        </w:rPr>
        <w:t>2</w:t>
      </w:r>
      <w:r>
        <w:rPr>
          <w:rFonts w:ascii="Calibri" w:hAnsi="Calibri" w:eastAsia="Times New Roman" w:cs="Calibri"/>
          <w:color w:val="000000"/>
        </w:rPr>
        <w:t xml:space="preserve">/ha </w:t>
      </w:r>
      <w:r w:rsidRPr="00A7730D">
        <w:rPr>
          <w:rFonts w:ascii="Calibri" w:hAnsi="Calibri" w:eastAsia="Times New Roman" w:cs="Calibri"/>
          <w:color w:val="000000"/>
        </w:rPr>
        <w:t xml:space="preserve">to get the % </w:t>
      </w:r>
      <w:r>
        <w:rPr>
          <w:rFonts w:ascii="Calibri" w:hAnsi="Calibri" w:eastAsia="Times New Roman" w:cs="Calibri"/>
          <w:color w:val="000000"/>
        </w:rPr>
        <w:t xml:space="preserve">tree cover </w:t>
      </w:r>
      <w:r w:rsidRPr="00A7730D">
        <w:rPr>
          <w:rFonts w:ascii="Calibri" w:hAnsi="Calibri" w:eastAsia="Times New Roman" w:cs="Calibri"/>
          <w:color w:val="000000"/>
        </w:rPr>
        <w:t>per ha</w:t>
      </w:r>
      <w:r>
        <w:rPr>
          <w:rFonts w:ascii="Calibri" w:hAnsi="Calibri" w:eastAsia="Times New Roman" w:cs="Calibri"/>
          <w:color w:val="000000"/>
        </w:rPr>
        <w:t xml:space="preserve"> for a 1 ha field.  We then scaled this regularized b</w:t>
      </w:r>
      <w:r w:rsidRPr="00A7730D">
        <w:rPr>
          <w:rFonts w:ascii="Calibri" w:hAnsi="Calibri" w:eastAsia="Times New Roman" w:cs="Calibri"/>
          <w:color w:val="000000"/>
        </w:rPr>
        <w:t xml:space="preserve">order tree cover/ha to </w:t>
      </w:r>
      <w:r>
        <w:rPr>
          <w:rFonts w:ascii="Calibri" w:hAnsi="Calibri" w:eastAsia="Times New Roman" w:cs="Calibri"/>
          <w:color w:val="000000"/>
        </w:rPr>
        <w:t xml:space="preserve">the </w:t>
      </w:r>
      <w:r w:rsidRPr="00A7730D">
        <w:rPr>
          <w:rFonts w:ascii="Calibri" w:hAnsi="Calibri" w:eastAsia="Times New Roman" w:cs="Calibri"/>
          <w:color w:val="000000"/>
        </w:rPr>
        <w:t>average field size</w:t>
      </w:r>
      <w:r>
        <w:rPr>
          <w:rFonts w:ascii="Calibri" w:hAnsi="Calibri" w:eastAsia="Times New Roman" w:cs="Calibri"/>
          <w:color w:val="000000"/>
        </w:rPr>
        <w:t xml:space="preserve"> given by the exert by dividing by the </w:t>
      </w:r>
      <w:r w:rsidRPr="00A7730D">
        <w:rPr>
          <w:rFonts w:ascii="Calibri" w:hAnsi="Calibri" w:eastAsia="Times New Roman" w:cs="Calibri"/>
          <w:color w:val="000000"/>
        </w:rPr>
        <w:t>av</w:t>
      </w:r>
      <w:r>
        <w:rPr>
          <w:rFonts w:ascii="Calibri" w:hAnsi="Calibri" w:eastAsia="Times New Roman" w:cs="Calibri"/>
          <w:color w:val="000000"/>
        </w:rPr>
        <w:t>era</w:t>
      </w:r>
      <w:r w:rsidRPr="00A7730D">
        <w:rPr>
          <w:rFonts w:ascii="Calibri" w:hAnsi="Calibri" w:eastAsia="Times New Roman" w:cs="Calibri"/>
          <w:color w:val="000000"/>
        </w:rPr>
        <w:t>g</w:t>
      </w:r>
      <w:r>
        <w:rPr>
          <w:rFonts w:ascii="Calibri" w:hAnsi="Calibri" w:eastAsia="Times New Roman" w:cs="Calibri"/>
          <w:color w:val="000000"/>
        </w:rPr>
        <w:t>e</w:t>
      </w:r>
      <w:r w:rsidRPr="00A7730D">
        <w:rPr>
          <w:rFonts w:ascii="Calibri" w:hAnsi="Calibri" w:eastAsia="Times New Roman" w:cs="Calibri"/>
          <w:color w:val="000000"/>
        </w:rPr>
        <w:t xml:space="preserve"> field size</w:t>
      </w:r>
      <w:r>
        <w:rPr>
          <w:rFonts w:ascii="Calibri" w:hAnsi="Calibri" w:eastAsia="Times New Roman" w:cs="Calibri"/>
          <w:color w:val="000000"/>
        </w:rPr>
        <w:t>, to get the realized (scaled) border tree cover/ha.  We asked the experts to confirm both the “</w:t>
      </w:r>
      <w:r w:rsidRPr="00D266DE">
        <w:rPr>
          <w:rFonts w:ascii="Calibri" w:hAnsi="Calibri" w:eastAsia="Times New Roman" w:cs="Calibri"/>
          <w:color w:val="000000"/>
        </w:rPr>
        <w:t>Optimal Boundary Tree Spacing (m)</w:t>
      </w:r>
      <w:r>
        <w:rPr>
          <w:rFonts w:ascii="Calibri" w:hAnsi="Calibri" w:eastAsia="Times New Roman" w:cs="Calibri"/>
          <w:color w:val="000000"/>
        </w:rPr>
        <w:t>” and the “</w:t>
      </w:r>
      <w:r w:rsidRPr="0056769B">
        <w:rPr>
          <w:rFonts w:ascii="Calibri" w:hAnsi="Calibri" w:eastAsia="Times New Roman" w:cs="Calibri"/>
          <w:color w:val="000000"/>
        </w:rPr>
        <w:t>Optimal Boundary tree % cover/ha scaled to median crop area</w:t>
      </w:r>
      <w:r>
        <w:rPr>
          <w:rFonts w:ascii="Calibri" w:hAnsi="Calibri" w:eastAsia="Times New Roman" w:cs="Calibri"/>
          <w:color w:val="000000"/>
        </w:rPr>
        <w:t>” in Round 2.</w:t>
      </w:r>
    </w:p>
    <w:p w:rsidR="005A0FFC" w:rsidP="005A0FFC" w:rsidRDefault="005A0FFC" w14:paraId="4B64CFC1" w14:textId="77777777">
      <w:pPr>
        <w:spacing w:line="480" w:lineRule="auto"/>
        <w:rPr>
          <w:rFonts w:ascii="Calibri" w:hAnsi="Calibri" w:eastAsia="Times New Roman" w:cs="Calibri"/>
          <w:color w:val="000000"/>
        </w:rPr>
      </w:pPr>
      <w:r>
        <w:rPr>
          <w:i/>
          <w:iCs/>
        </w:rPr>
        <w:t xml:space="preserve">Generating Percent Tree Cover from other Specifications:  </w:t>
      </w:r>
      <w:r>
        <w:t xml:space="preserve">The critical metric for the analysis was the percent (%) tree cover.  If this was not given directly by the expert for ‘trees in fields’, we converted the numbers given by the experts as such: trees/ha was converted to % tree cover by multiplying the trees/ha by the tree crown area.  Row spacing (intra and inter-row) </w:t>
      </w:r>
      <w:r>
        <w:rPr>
          <w:rFonts w:ascii="Calibri" w:hAnsi="Calibri" w:eastAsia="Times New Roman" w:cs="Calibri"/>
          <w:color w:val="000000"/>
        </w:rPr>
        <w:t>was</w:t>
      </w:r>
      <w:r w:rsidRPr="00A7730D">
        <w:rPr>
          <w:rFonts w:ascii="Calibri" w:hAnsi="Calibri" w:eastAsia="Times New Roman" w:cs="Calibri"/>
          <w:color w:val="000000"/>
        </w:rPr>
        <w:t xml:space="preserve"> converted to ‘</w:t>
      </w:r>
      <w:r>
        <w:rPr>
          <w:rFonts w:ascii="Calibri" w:hAnsi="Calibri" w:eastAsia="Times New Roman" w:cs="Calibri"/>
          <w:color w:val="000000"/>
        </w:rPr>
        <w:t>trees/</w:t>
      </w:r>
      <w:r w:rsidRPr="00A7730D">
        <w:rPr>
          <w:rFonts w:ascii="Calibri" w:hAnsi="Calibri" w:eastAsia="Times New Roman" w:cs="Calibri"/>
          <w:color w:val="000000"/>
        </w:rPr>
        <w:t>h</w:t>
      </w:r>
      <w:r>
        <w:rPr>
          <w:rFonts w:ascii="Calibri" w:hAnsi="Calibri" w:eastAsia="Times New Roman" w:cs="Calibri"/>
          <w:color w:val="000000"/>
        </w:rPr>
        <w:t>a</w:t>
      </w:r>
      <w:r w:rsidRPr="00A7730D">
        <w:rPr>
          <w:rFonts w:ascii="Calibri" w:hAnsi="Calibri" w:eastAsia="Times New Roman" w:cs="Calibri"/>
          <w:color w:val="000000"/>
        </w:rPr>
        <w:t xml:space="preserve">’ by using the equation: </w:t>
      </w:r>
      <w:r>
        <w:rPr>
          <w:rFonts w:ascii="Calibri" w:hAnsi="Calibri" w:eastAsia="Times New Roman" w:cs="Calibri"/>
          <w:color w:val="000000"/>
        </w:rPr>
        <w:t>{</w:t>
      </w:r>
      <w:r w:rsidRPr="00A7730D">
        <w:rPr>
          <w:rFonts w:ascii="Calibri" w:hAnsi="Calibri" w:eastAsia="Times New Roman" w:cs="Calibri"/>
          <w:color w:val="000000"/>
        </w:rPr>
        <w:t>number of rows/ha (for INTRA-ROW )</w:t>
      </w:r>
      <w:r>
        <w:rPr>
          <w:rFonts w:ascii="Calibri" w:hAnsi="Calibri" w:eastAsia="Times New Roman" w:cs="Calibri"/>
          <w:color w:val="000000"/>
        </w:rPr>
        <w:t>}</w:t>
      </w:r>
      <w:r w:rsidRPr="00A7730D">
        <w:rPr>
          <w:rFonts w:ascii="Calibri" w:hAnsi="Calibri" w:eastAsia="Times New Roman" w:cs="Calibri"/>
          <w:color w:val="000000"/>
        </w:rPr>
        <w:t xml:space="preserve"> or </w:t>
      </w:r>
      <w:r>
        <w:rPr>
          <w:rFonts w:ascii="Calibri" w:hAnsi="Calibri" w:eastAsia="Times New Roman" w:cs="Calibri"/>
          <w:color w:val="000000"/>
        </w:rPr>
        <w:t>{</w:t>
      </w:r>
      <w:r w:rsidRPr="00A7730D">
        <w:rPr>
          <w:rFonts w:ascii="Calibri" w:hAnsi="Calibri" w:eastAsia="Times New Roman" w:cs="Calibri"/>
          <w:color w:val="000000"/>
        </w:rPr>
        <w:t>trees/row (for INTER-ROW)</w:t>
      </w:r>
      <w:r>
        <w:rPr>
          <w:rFonts w:ascii="Calibri" w:hAnsi="Calibri" w:eastAsia="Times New Roman" w:cs="Calibri"/>
          <w:color w:val="000000"/>
        </w:rPr>
        <w:t>}</w:t>
      </w:r>
      <w:r w:rsidRPr="00A7730D">
        <w:rPr>
          <w:rFonts w:ascii="Calibri" w:hAnsi="Calibri" w:eastAsia="Times New Roman" w:cs="Calibri"/>
          <w:color w:val="000000"/>
        </w:rPr>
        <w:t xml:space="preserve"> </w:t>
      </w:r>
      <w:r>
        <w:rPr>
          <w:rFonts w:ascii="Calibri" w:hAnsi="Calibri" w:eastAsia="Times New Roman" w:cs="Calibri"/>
          <w:color w:val="000000"/>
        </w:rPr>
        <w:t xml:space="preserve"> </w:t>
      </w:r>
      <w:r w:rsidRPr="00A7730D">
        <w:rPr>
          <w:rFonts w:ascii="Calibri" w:hAnsi="Calibri" w:eastAsia="Times New Roman" w:cs="Calibri"/>
          <w:color w:val="000000"/>
        </w:rPr>
        <w:t>=  100 m / row spacing (m).  Then, the two were multiplied by each other to get trees/ha</w:t>
      </w:r>
      <w:r>
        <w:rPr>
          <w:rFonts w:ascii="Calibri" w:hAnsi="Calibri" w:eastAsia="Times New Roman" w:cs="Calibri"/>
          <w:color w:val="000000"/>
        </w:rPr>
        <w:t>, which was then converted as explained previously</w:t>
      </w:r>
      <w:r w:rsidRPr="00A7730D">
        <w:rPr>
          <w:rFonts w:ascii="Calibri" w:hAnsi="Calibri" w:eastAsia="Times New Roman" w:cs="Calibri"/>
          <w:color w:val="000000"/>
        </w:rPr>
        <w:t>.</w:t>
      </w:r>
    </w:p>
    <w:p w:rsidR="005A0FFC" w:rsidP="005A0FFC" w:rsidRDefault="005A0FFC" w14:paraId="7582F19B" w14:textId="77777777">
      <w:pPr>
        <w:spacing w:line="480" w:lineRule="auto"/>
      </w:pPr>
      <w:r>
        <w:t xml:space="preserve">We compiled and averaged the expert’s final </w:t>
      </w:r>
      <w:r w:rsidRPr="00852033">
        <w:t>estimations</w:t>
      </w:r>
      <w:r w:rsidDel="000F4152">
        <w:t xml:space="preserve"> </w:t>
      </w:r>
      <w:r>
        <w:t xml:space="preserve">for the optimal tree cover in the crop and animal specific categories as well as the ‘across all’ </w:t>
      </w:r>
      <w:r w:rsidRPr="00852033">
        <w:t>estimations</w:t>
      </w:r>
      <w:r w:rsidDel="000F4152">
        <w:t xml:space="preserve"> </w:t>
      </w:r>
      <w:r>
        <w:t>per biome-continent pair and working land type (agricultural and grazing land).</w:t>
      </w:r>
    </w:p>
    <w:p w:rsidR="005A0FFC" w:rsidP="005A0FFC" w:rsidRDefault="005A0FFC" w14:paraId="3B7BC6FD" w14:textId="77777777">
      <w:pPr>
        <w:spacing w:after="0" w:line="480" w:lineRule="auto"/>
      </w:pPr>
      <w:r>
        <w:t>There were some biomes for which we were unable to identify experts, which we managed as follows:</w:t>
      </w:r>
    </w:p>
    <w:p w:rsidR="005A0FFC" w:rsidP="005A0FFC" w:rsidRDefault="005A0FFC" w14:paraId="168D9F2B" w14:textId="77777777">
      <w:pPr>
        <w:spacing w:after="0" w:line="480" w:lineRule="auto"/>
      </w:pPr>
      <w:r w:rsidRPr="00745FB6">
        <w:t>Conifer Forests</w:t>
      </w:r>
      <w:r>
        <w:t>- because these tend to occur in elevational gradients between forest, grassland, and desert biomes, within each continent, we used the average expert-estimated optimal tree cover for the surrounding biomes, weighted by the percent of the perimeter of the conifer forest biome they covered. </w:t>
      </w:r>
    </w:p>
    <w:p w:rsidR="005A0FFC" w:rsidP="005A0FFC" w:rsidRDefault="005A0FFC" w14:paraId="5220047E" w14:textId="6B7FB3D8">
      <w:pPr>
        <w:spacing w:after="0" w:line="480" w:lineRule="auto"/>
      </w:pPr>
      <w:r w:rsidRPr="00BA3369">
        <w:t xml:space="preserve">Montane &amp; </w:t>
      </w:r>
      <w:r w:rsidRPr="00D607AD">
        <w:t>Temperate Grasslands, Savannas &amp; Shrubland</w:t>
      </w:r>
      <w:r>
        <w:t xml:space="preserve">s- we hypothesized that the difference in percent tree canopy cover between Temperate and Montane Grasslands, Savannas &amp; Shrublands (GSS) would be driven by climatic factors expressed as the localized maximum elevation for tree growth.  However, since the above-treeline areas were masked out of the Cook-Patton (2020) aboveground carbon accumulation layer, and consequently would not be assigned a carbon potential value, we considered them interchangeable.  The Montane GSS type was missing for </w:t>
      </w:r>
      <w:r w:rsidR="00EC13F0">
        <w:t>cropland</w:t>
      </w:r>
      <w:r>
        <w:t xml:space="preserve"> and the Temperate GSS type was missing for </w:t>
      </w:r>
      <w:r w:rsidR="00EC13F0">
        <w:t>grazing land</w:t>
      </w:r>
      <w:r>
        <w:t xml:space="preserve">, hence, we used the value given for the other type of GSS system to fill in for the missing type.  </w:t>
      </w:r>
    </w:p>
    <w:p w:rsidRPr="00CC3D32" w:rsidR="005A0FFC" w:rsidP="005A0FFC" w:rsidRDefault="005A0FFC" w14:paraId="315947BE" w14:textId="77777777">
      <w:pPr>
        <w:spacing w:line="480" w:lineRule="auto"/>
        <w:rPr>
          <w:rFonts w:ascii="Calibri" w:hAnsi="Calibri" w:eastAsia="Times New Roman" w:cs="Calibri"/>
          <w:b/>
          <w:bCs/>
          <w:i/>
          <w:iCs/>
          <w:color w:val="000000"/>
          <w:u w:val="single"/>
        </w:rPr>
      </w:pPr>
      <w:r>
        <w:rPr>
          <w:rFonts w:ascii="Calibri" w:hAnsi="Calibri" w:eastAsia="Times New Roman" w:cs="Calibri"/>
          <w:b/>
          <w:bCs/>
          <w:i/>
          <w:iCs/>
          <w:color w:val="000000"/>
          <w:u w:val="single"/>
        </w:rPr>
        <w:t xml:space="preserve">Expert Elicitation </w:t>
      </w:r>
      <w:r w:rsidRPr="00CC3D32">
        <w:rPr>
          <w:rFonts w:ascii="Calibri" w:hAnsi="Calibri" w:eastAsia="Times New Roman" w:cs="Calibri"/>
          <w:b/>
          <w:bCs/>
          <w:i/>
          <w:iCs/>
          <w:color w:val="000000"/>
          <w:u w:val="single"/>
        </w:rPr>
        <w:t>Data Processing Details:</w:t>
      </w:r>
    </w:p>
    <w:p w:rsidRPr="00D76ECF" w:rsidR="005A0FFC" w:rsidP="005A0FFC" w:rsidRDefault="005A0FFC" w14:paraId="49220210" w14:textId="5A873748">
      <w:pPr>
        <w:spacing w:line="480" w:lineRule="auto"/>
        <w:rPr>
          <w:rFonts w:ascii="Calibri" w:hAnsi="Calibri" w:eastAsia="Times New Roman" w:cs="Calibri"/>
          <w:color w:val="000000"/>
        </w:rPr>
      </w:pPr>
      <w:r w:rsidRPr="1FF7E5A1" w:rsidR="005A0FFC">
        <w:rPr>
          <w:i w:val="1"/>
          <w:iCs w:val="1"/>
        </w:rPr>
        <w:t xml:space="preserve">Mechanization Level </w:t>
      </w:r>
      <w:r w:rsidRPr="1FF7E5A1" w:rsidR="005A0FFC">
        <w:rPr>
          <w:rFonts w:ascii="Calibri" w:hAnsi="Calibri" w:eastAsia="Times New Roman" w:cs="Calibri"/>
          <w:i w:val="1"/>
          <w:iCs w:val="1"/>
          <w:color w:val="000000" w:themeColor="text1" w:themeTint="FF" w:themeShade="FF"/>
        </w:rPr>
        <w:t>(</w:t>
      </w:r>
      <w:r w:rsidRPr="1FF7E5A1" w:rsidR="2DA559A2">
        <w:rPr>
          <w:rFonts w:ascii="Calibri" w:hAnsi="Calibri" w:eastAsia="Times New Roman" w:cs="Calibri"/>
          <w:i w:val="1"/>
          <w:iCs w:val="1"/>
          <w:color w:val="000000" w:themeColor="text1" w:themeTint="FF" w:themeShade="FF"/>
        </w:rPr>
        <w:t xml:space="preserve">cropland </w:t>
      </w:r>
      <w:r w:rsidRPr="1FF7E5A1" w:rsidR="005A0FFC">
        <w:rPr>
          <w:rFonts w:ascii="Calibri" w:hAnsi="Calibri" w:eastAsia="Times New Roman" w:cs="Calibri"/>
          <w:i w:val="1"/>
          <w:iCs w:val="1"/>
          <w:color w:val="000000" w:themeColor="text1" w:themeTint="FF" w:themeShade="FF"/>
        </w:rPr>
        <w:t>only, not used in</w:t>
      </w:r>
      <w:r w:rsidRPr="1FF7E5A1" w:rsidR="493561E2">
        <w:rPr>
          <w:rFonts w:ascii="Calibri" w:hAnsi="Calibri" w:eastAsia="Times New Roman" w:cs="Calibri"/>
          <w:i w:val="1"/>
          <w:iCs w:val="1"/>
          <w:color w:val="000000" w:themeColor="text1" w:themeTint="FF" w:themeShade="FF"/>
        </w:rPr>
        <w:t xml:space="preserve"> grazing land</w:t>
      </w:r>
      <w:r w:rsidRPr="1FF7E5A1" w:rsidR="48512854">
        <w:rPr>
          <w:rFonts w:ascii="Calibri" w:hAnsi="Calibri" w:eastAsia="Times New Roman" w:cs="Calibri"/>
          <w:i w:val="1"/>
          <w:iCs w:val="1"/>
          <w:color w:val="000000" w:themeColor="text1" w:themeTint="FF" w:themeShade="FF"/>
        </w:rPr>
        <w:t>s</w:t>
      </w:r>
      <w:r w:rsidRPr="1FF7E5A1" w:rsidR="005A0FFC">
        <w:rPr>
          <w:rFonts w:ascii="Calibri" w:hAnsi="Calibri" w:eastAsia="Times New Roman" w:cs="Calibri"/>
          <w:i w:val="1"/>
          <w:iCs w:val="1"/>
          <w:color w:val="000000" w:themeColor="text1" w:themeTint="FF" w:themeShade="FF"/>
        </w:rPr>
        <w:t xml:space="preserve"> </w:t>
      </w:r>
      <w:r w:rsidRPr="1FF7E5A1" w:rsidR="005A0FFC">
        <w:rPr>
          <w:rFonts w:ascii="Calibri" w:hAnsi="Calibri" w:eastAsia="Times New Roman" w:cs="Calibri"/>
          <w:i w:val="1"/>
          <w:iCs w:val="1"/>
          <w:color w:val="000000" w:themeColor="text1" w:themeTint="FF" w:themeShade="FF"/>
        </w:rPr>
        <w:t xml:space="preserve">since mechanization is not common in grazing lands): </w:t>
      </w:r>
      <w:r w:rsidRPr="1FF7E5A1" w:rsidR="005A0FFC">
        <w:rPr>
          <w:i w:val="1"/>
          <w:iCs w:val="1"/>
        </w:rPr>
        <w:t xml:space="preserve"> </w:t>
      </w:r>
      <w:r w:rsidR="005A0FFC">
        <w:rPr/>
        <w:t xml:space="preserve">In order to adjust the </w:t>
      </w:r>
      <w:r w:rsidR="005A0FFC">
        <w:rPr/>
        <w:t>tree</w:t>
      </w:r>
      <w:r w:rsidR="005A0FFC">
        <w:rPr/>
        <w:t xml:space="preserve"> cover in fields for mechanization, we asked experts to provide two different </w:t>
      </w:r>
      <w:r w:rsidR="005A0FFC">
        <w:rPr/>
        <w:t>estimations</w:t>
      </w:r>
      <w:r w:rsidR="005A0FFC">
        <w:rPr/>
        <w:t xml:space="preserve">, one for trees in fields with mechanization, and one for trees in fields without mechanization.  We also asked them to specify how common mechanization was in the cropland in their region, from </w:t>
      </w:r>
      <w:r w:rsidRPr="1FF7E5A1" w:rsidR="005A0FFC">
        <w:rPr>
          <w:rFonts w:ascii="Calibri" w:hAnsi="Calibri" w:eastAsia="Times New Roman" w:cs="Calibri"/>
          <w:color w:val="000000" w:themeColor="text1" w:themeTint="FF" w:themeShade="FF"/>
        </w:rPr>
        <w:t xml:space="preserve">“very uncommon: used in &lt;20% of cropland” to “very common: used in &gt;60% of cropland.”  We assigned numerical values ranging from 0.1 to 0.8 for each of these responses, </w:t>
      </w:r>
      <w:r w:rsidRPr="1FF7E5A1" w:rsidR="005A0FFC">
        <w:rPr>
          <w:rFonts w:ascii="Calibri" w:hAnsi="Calibri" w:eastAsia="Times New Roman" w:cs="Calibri"/>
          <w:color w:val="000000" w:themeColor="text1" w:themeTint="FF" w:themeShade="FF"/>
        </w:rPr>
        <w:t>representing</w:t>
      </w:r>
      <w:r w:rsidRPr="1FF7E5A1" w:rsidR="005A0FFC">
        <w:rPr>
          <w:rFonts w:ascii="Calibri" w:hAnsi="Calibri" w:eastAsia="Times New Roman" w:cs="Calibri"/>
          <w:color w:val="000000" w:themeColor="text1" w:themeTint="FF" w:themeShade="FF"/>
        </w:rPr>
        <w:t xml:space="preserve"> the median of the range (</w:t>
      </w:r>
      <w:r w:rsidRPr="1FF7E5A1" w:rsidR="005A0FFC">
        <w:rPr>
          <w:rFonts w:ascii="Calibri" w:hAnsi="Calibri" w:eastAsia="Times New Roman" w:cs="Calibri"/>
          <w:color w:val="000000" w:themeColor="text1" w:themeTint="FF" w:themeShade="FF"/>
        </w:rPr>
        <w:t>e.g.</w:t>
      </w:r>
      <w:r w:rsidRPr="1FF7E5A1" w:rsidR="005A0FFC">
        <w:rPr>
          <w:rFonts w:ascii="Calibri" w:hAnsi="Calibri" w:eastAsia="Times New Roman" w:cs="Calibri"/>
          <w:color w:val="000000" w:themeColor="text1" w:themeTint="FF" w:themeShade="FF"/>
        </w:rPr>
        <w:t xml:space="preserve"> 0-20% = 10% = 0.1 for the first range).  We then used this ratio to apply the expert’s </w:t>
      </w:r>
      <w:r w:rsidR="005A0FFC">
        <w:rPr/>
        <w:t>estimations</w:t>
      </w:r>
      <w:r w:rsidRPr="1FF7E5A1" w:rsidR="005A0FFC">
        <w:rPr>
          <w:rFonts w:ascii="Calibri" w:hAnsi="Calibri" w:eastAsia="Times New Roman" w:cs="Calibri"/>
          <w:color w:val="000000" w:themeColor="text1" w:themeTint="FF" w:themeShade="FF"/>
        </w:rPr>
        <w:t xml:space="preserve"> ‘with mechanization’ to the respective fraction of the cropped area that they Indicated was mechanized, and their </w:t>
      </w:r>
      <w:r w:rsidR="005A0FFC">
        <w:rPr/>
        <w:t>estimation</w:t>
      </w:r>
      <w:r w:rsidRPr="1FF7E5A1" w:rsidR="005A0FFC">
        <w:rPr>
          <w:rFonts w:ascii="Calibri" w:hAnsi="Calibri" w:eastAsia="Times New Roman" w:cs="Calibri"/>
          <w:color w:val="000000" w:themeColor="text1" w:themeTint="FF" w:themeShade="FF"/>
        </w:rPr>
        <w:t xml:space="preserve"> for areas ‘without mechanization’ to the remaining fraction.  This gave us their final </w:t>
      </w:r>
      <w:r w:rsidRPr="1FF7E5A1" w:rsidR="005A0FFC">
        <w:rPr>
          <w:rFonts w:ascii="Calibri" w:hAnsi="Calibri" w:eastAsia="Times New Roman" w:cs="Calibri"/>
          <w:color w:val="000000" w:themeColor="text1" w:themeTint="FF" w:themeShade="FF"/>
        </w:rPr>
        <w:t>optimal</w:t>
      </w:r>
      <w:r w:rsidRPr="1FF7E5A1" w:rsidR="005A0FFC">
        <w:rPr>
          <w:rFonts w:ascii="Calibri" w:hAnsi="Calibri" w:eastAsia="Times New Roman" w:cs="Calibri"/>
          <w:color w:val="000000" w:themeColor="text1" w:themeTint="FF" w:themeShade="FF"/>
        </w:rPr>
        <w:t xml:space="preserve"> </w:t>
      </w:r>
      <w:r w:rsidR="005A0FFC">
        <w:rPr/>
        <w:t xml:space="preserve">percent tree canopy cover </w:t>
      </w:r>
      <w:r w:rsidRPr="1FF7E5A1" w:rsidR="005A0FFC">
        <w:rPr>
          <w:rFonts w:ascii="Calibri" w:hAnsi="Calibri" w:eastAsia="Times New Roman" w:cs="Calibri"/>
          <w:i w:val="1"/>
          <w:iCs w:val="1"/>
          <w:color w:val="000000" w:themeColor="text1" w:themeTint="FF" w:themeShade="FF"/>
        </w:rPr>
        <w:t>with mechanization to scale</w:t>
      </w:r>
      <w:r w:rsidRPr="1FF7E5A1" w:rsidR="005A0FFC">
        <w:rPr>
          <w:rFonts w:ascii="Calibri" w:hAnsi="Calibri" w:eastAsia="Times New Roman" w:cs="Calibri"/>
          <w:color w:val="000000" w:themeColor="text1" w:themeTint="FF" w:themeShade="FF"/>
        </w:rPr>
        <w:t xml:space="preserve">.  </w:t>
      </w:r>
    </w:p>
    <w:p w:rsidR="005A0FFC" w:rsidP="1FF7E5A1" w:rsidRDefault="005A0FFC" w14:paraId="38B608F0" w14:textId="4AA360D6">
      <w:pPr>
        <w:spacing w:after="0" w:line="480" w:lineRule="auto"/>
        <w:rPr>
          <w:rFonts w:ascii="Calibri" w:hAnsi="Calibri" w:eastAsia="Times New Roman" w:cs="Calibri"/>
          <w:i w:val="1"/>
          <w:iCs w:val="1"/>
          <w:color w:val="000000"/>
        </w:rPr>
      </w:pPr>
      <w:r w:rsidRPr="1FF7E5A1" w:rsidR="005A0FFC">
        <w:rPr>
          <w:rFonts w:ascii="Calibri" w:hAnsi="Calibri" w:eastAsia="Times New Roman" w:cs="Calibri"/>
          <w:i w:val="1"/>
          <w:iCs w:val="1"/>
          <w:color w:val="000000" w:themeColor="text1" w:themeTint="FF" w:themeShade="FF"/>
        </w:rPr>
        <w:t>Generating Total</w:t>
      </w:r>
      <w:r w:rsidRPr="1FF7E5A1" w:rsidR="005A0FFC">
        <w:rPr>
          <w:rFonts w:ascii="Calibri" w:hAnsi="Calibri" w:eastAsia="Times New Roman" w:cs="Calibri"/>
          <w:i w:val="1"/>
          <w:iCs w:val="1"/>
          <w:color w:val="000000" w:themeColor="text1" w:themeTint="FF" w:themeShade="FF"/>
        </w:rPr>
        <w:t xml:space="preserve"> Expert-</w:t>
      </w:r>
      <w:r w:rsidRPr="1FF7E5A1" w:rsidR="005A0FFC">
        <w:rPr>
          <w:i w:val="1"/>
          <w:iCs w:val="1"/>
        </w:rPr>
        <w:t>E</w:t>
      </w:r>
      <w:r w:rsidRPr="1FF7E5A1" w:rsidR="005A0FFC">
        <w:rPr>
          <w:rFonts w:ascii="Calibri" w:hAnsi="Calibri" w:eastAsia="Times New Roman" w:cs="Calibri"/>
          <w:i w:val="1"/>
          <w:iCs w:val="1"/>
          <w:color w:val="000000" w:themeColor="text1" w:themeTint="FF" w:themeShade="FF"/>
        </w:rPr>
        <w:t xml:space="preserve">stimated </w:t>
      </w:r>
      <w:r w:rsidRPr="1FF7E5A1" w:rsidR="005A0FFC">
        <w:rPr>
          <w:rFonts w:ascii="Calibri" w:hAnsi="Calibri" w:eastAsia="Times New Roman" w:cs="Calibri"/>
          <w:i w:val="1"/>
          <w:iCs w:val="1"/>
          <w:color w:val="000000" w:themeColor="text1" w:themeTint="FF" w:themeShade="FF"/>
        </w:rPr>
        <w:t>O</w:t>
      </w:r>
      <w:r w:rsidRPr="1FF7E5A1" w:rsidR="005A0FFC">
        <w:rPr>
          <w:rFonts w:ascii="Calibri" w:hAnsi="Calibri" w:eastAsia="Times New Roman" w:cs="Calibri"/>
          <w:i w:val="1"/>
          <w:iCs w:val="1"/>
          <w:color w:val="000000" w:themeColor="text1" w:themeTint="FF" w:themeShade="FF"/>
        </w:rPr>
        <w:t>ptimal</w:t>
      </w:r>
      <w:r w:rsidRPr="1FF7E5A1" w:rsidR="005A0FFC">
        <w:rPr>
          <w:rFonts w:ascii="Calibri" w:hAnsi="Calibri" w:eastAsia="Times New Roman" w:cs="Calibri"/>
          <w:i w:val="1"/>
          <w:iCs w:val="1"/>
          <w:color w:val="000000" w:themeColor="text1" w:themeTint="FF" w:themeShade="FF"/>
        </w:rPr>
        <w:t xml:space="preserve"> Tree</w:t>
      </w:r>
      <w:r w:rsidRPr="1FF7E5A1" w:rsidR="005A0FFC">
        <w:rPr>
          <w:rFonts w:ascii="Calibri" w:hAnsi="Calibri" w:eastAsia="Times New Roman" w:cs="Calibri"/>
          <w:i w:val="1"/>
          <w:iCs w:val="1"/>
          <w:color w:val="000000" w:themeColor="text1" w:themeTint="FF" w:themeShade="FF"/>
        </w:rPr>
        <w:t xml:space="preserve"> Cover</w:t>
      </w:r>
      <w:r w:rsidRPr="1FF7E5A1" w:rsidR="005A0FFC">
        <w:rPr>
          <w:rFonts w:ascii="Calibri" w:hAnsi="Calibri" w:eastAsia="Times New Roman" w:cs="Calibri"/>
          <w:i w:val="1"/>
          <w:iCs w:val="1"/>
          <w:color w:val="000000" w:themeColor="text1" w:themeTint="FF" w:themeShade="FF"/>
        </w:rPr>
        <w:t>s</w:t>
      </w:r>
      <w:r w:rsidRPr="1FF7E5A1" w:rsidR="005A0FFC">
        <w:rPr>
          <w:rFonts w:ascii="Calibri" w:hAnsi="Calibri" w:eastAsia="Times New Roman" w:cs="Calibri"/>
          <w:i w:val="1"/>
          <w:iCs w:val="1"/>
          <w:color w:val="000000" w:themeColor="text1" w:themeTint="FF" w:themeShade="FF"/>
        </w:rPr>
        <w:t xml:space="preserve">: </w:t>
      </w:r>
      <w:r w:rsidRPr="1FF7E5A1" w:rsidR="005A0FFC">
        <w:rPr>
          <w:rFonts w:ascii="Calibri" w:hAnsi="Calibri" w:eastAsia="Times New Roman" w:cs="Calibri"/>
          <w:color w:val="000000" w:themeColor="text1" w:themeTint="FF" w:themeShade="FF"/>
        </w:rPr>
        <w:t xml:space="preserve">We set a </w:t>
      </w:r>
      <w:r w:rsidRPr="1FF7E5A1" w:rsidR="005A0FFC">
        <w:rPr>
          <w:rFonts w:ascii="Calibri" w:hAnsi="Calibri" w:eastAsia="Times New Roman" w:cs="Calibri"/>
          <w:color w:val="000000" w:themeColor="text1" w:themeTint="FF" w:themeShade="FF"/>
        </w:rPr>
        <w:t>maximum</w:t>
      </w:r>
      <w:r w:rsidRPr="1FF7E5A1" w:rsidR="005A0FFC">
        <w:rPr>
          <w:rFonts w:ascii="Calibri" w:hAnsi="Calibri" w:eastAsia="Times New Roman" w:cs="Calibri"/>
          <w:color w:val="000000" w:themeColor="text1" w:themeTint="FF" w:themeShade="FF"/>
        </w:rPr>
        <w:t xml:space="preserve"> cap at </w:t>
      </w:r>
      <w:r w:rsidR="005A0FFC">
        <w:rPr/>
        <w:t>100% tree cover, even if canopy overlap from tight spacing could add up to higher than 100% tree cover by these methods.</w:t>
      </w:r>
    </w:p>
    <w:p w:rsidRPr="00D76ECF" w:rsidR="005A0FFC" w:rsidP="005A0FFC" w:rsidRDefault="005A0FFC" w14:paraId="3A81B2F5" w14:textId="77743FC9">
      <w:pPr>
        <w:spacing w:after="0" w:line="480" w:lineRule="auto"/>
        <w:rPr>
          <w:rFonts w:ascii="Calibri" w:hAnsi="Calibri" w:eastAsia="Times New Roman" w:cs="Calibri"/>
          <w:color w:val="000000"/>
        </w:rPr>
      </w:pPr>
      <w:r w:rsidRPr="1FF7E5A1" w:rsidR="005A0FFC">
        <w:rPr>
          <w:rFonts w:ascii="Calibri" w:hAnsi="Calibri" w:eastAsia="Times New Roman" w:cs="Calibri"/>
          <w:i w:val="1"/>
          <w:iCs w:val="1"/>
          <w:color w:val="000000" w:themeColor="text1" w:themeTint="FF" w:themeShade="FF"/>
        </w:rPr>
        <w:t xml:space="preserve">For </w:t>
      </w:r>
      <w:r w:rsidRPr="1FF7E5A1" w:rsidR="005A0FFC">
        <w:rPr>
          <w:rFonts w:ascii="Calibri" w:hAnsi="Calibri" w:eastAsia="Times New Roman" w:cs="Calibri"/>
          <w:i w:val="1"/>
          <w:iCs w:val="1"/>
          <w:color w:val="000000" w:themeColor="text1" w:themeTint="FF" w:themeShade="FF"/>
        </w:rPr>
        <w:t xml:space="preserve">Grazing lands: </w:t>
      </w:r>
      <w:r w:rsidRPr="1FF7E5A1" w:rsidR="005A0FFC">
        <w:rPr>
          <w:rFonts w:ascii="Calibri" w:hAnsi="Calibri" w:eastAsia="Times New Roman" w:cs="Calibri"/>
          <w:color w:val="000000" w:themeColor="text1" w:themeTint="FF" w:themeShade="FF"/>
        </w:rPr>
        <w:t xml:space="preserve">We calculated the </w:t>
      </w:r>
      <w:r w:rsidRPr="1FF7E5A1" w:rsidR="005A0FFC">
        <w:rPr>
          <w:rFonts w:ascii="Calibri" w:hAnsi="Calibri" w:eastAsia="Times New Roman" w:cs="Calibri"/>
          <w:color w:val="000000" w:themeColor="text1" w:themeTint="FF" w:themeShade="FF"/>
        </w:rPr>
        <w:t>optimal</w:t>
      </w:r>
      <w:r w:rsidRPr="1FF7E5A1" w:rsidR="005A0FFC">
        <w:rPr>
          <w:rFonts w:ascii="Calibri" w:hAnsi="Calibri" w:eastAsia="Times New Roman" w:cs="Calibri"/>
          <w:color w:val="000000" w:themeColor="text1" w:themeTint="FF" w:themeShade="FF"/>
        </w:rPr>
        <w:t xml:space="preserve"> total tree cover by adding the border tree cover/ha expressed as % tree cover to the ‘in field’ % tree cover/ha</w:t>
      </w:r>
      <w:r w:rsidRPr="1FF7E5A1" w:rsidR="005A0FFC">
        <w:rPr>
          <w:rFonts w:ascii="Calibri" w:hAnsi="Calibri" w:eastAsia="Times New Roman" w:cs="Calibri"/>
          <w:color w:val="000000" w:themeColor="text1" w:themeTint="FF" w:themeShade="FF"/>
        </w:rPr>
        <w:t xml:space="preserve">.  </w:t>
      </w:r>
    </w:p>
    <w:p w:rsidR="00746B78" w:rsidP="005A0FFC" w:rsidRDefault="005A0FFC" w14:paraId="0B248230" w14:textId="4EED82E3">
      <w:r w:rsidRPr="1FF7E5A1" w:rsidR="005A0FFC">
        <w:rPr>
          <w:rFonts w:ascii="Calibri" w:hAnsi="Calibri" w:eastAsia="Times New Roman" w:cs="Calibri"/>
          <w:i w:val="1"/>
          <w:iCs w:val="1"/>
          <w:color w:val="000000" w:themeColor="text1" w:themeTint="FF" w:themeShade="FF"/>
        </w:rPr>
        <w:t xml:space="preserve">For </w:t>
      </w:r>
      <w:r w:rsidRPr="1FF7E5A1" w:rsidR="005A0FFC">
        <w:rPr>
          <w:rFonts w:ascii="Calibri" w:hAnsi="Calibri" w:eastAsia="Times New Roman" w:cs="Calibri"/>
          <w:i w:val="1"/>
          <w:iCs w:val="1"/>
          <w:color w:val="000000" w:themeColor="text1" w:themeTint="FF" w:themeShade="FF"/>
        </w:rPr>
        <w:t xml:space="preserve">Croplands </w:t>
      </w:r>
      <w:r w:rsidRPr="1FF7E5A1" w:rsidR="005A0FFC">
        <w:rPr>
          <w:rFonts w:ascii="Calibri" w:hAnsi="Calibri" w:eastAsia="Times New Roman" w:cs="Calibri"/>
          <w:i w:val="1"/>
          <w:iCs w:val="1"/>
          <w:color w:val="000000" w:themeColor="text1" w:themeTint="FF" w:themeShade="FF"/>
        </w:rPr>
        <w:t>Generating Total Tree Cover (proportional mechanization) for specific Crop and Across all Crops</w:t>
      </w:r>
      <w:r w:rsidRPr="1FF7E5A1" w:rsidR="005A0FFC">
        <w:rPr>
          <w:rFonts w:ascii="Calibri" w:hAnsi="Calibri" w:eastAsia="Times New Roman" w:cs="Calibri"/>
          <w:i w:val="1"/>
          <w:iCs w:val="1"/>
          <w:color w:val="000000" w:themeColor="text1" w:themeTint="FF" w:themeShade="FF"/>
        </w:rPr>
        <w:t xml:space="preserve">: </w:t>
      </w:r>
      <w:r w:rsidRPr="1FF7E5A1" w:rsidR="005A0FFC">
        <w:rPr>
          <w:rFonts w:ascii="Calibri" w:hAnsi="Calibri" w:eastAsia="Times New Roman" w:cs="Calibri"/>
          <w:color w:val="000000" w:themeColor="text1" w:themeTint="FF" w:themeShade="FF"/>
        </w:rPr>
        <w:t>Where a different number was given for mechanization, we adjusted the % tree cover values calculated from the values given without mechanization multiplied by the ratio of {1</w:t>
      </w:r>
      <w:r w:rsidRPr="1FF7E5A1" w:rsidR="005A0FFC">
        <w:rPr>
          <w:rFonts w:ascii="Calibri" w:hAnsi="Calibri" w:eastAsia="Times New Roman" w:cs="Calibri"/>
          <w:color w:val="000000" w:themeColor="text1" w:themeTint="FF" w:themeShade="FF"/>
        </w:rPr>
        <w:t xml:space="preserve"> –</w:t>
      </w:r>
      <w:r w:rsidRPr="1FF7E5A1" w:rsidR="005A0FFC">
        <w:rPr>
          <w:rFonts w:ascii="Calibri" w:hAnsi="Calibri" w:eastAsia="Times New Roman" w:cs="Calibri"/>
          <w:color w:val="000000" w:themeColor="text1" w:themeTint="FF" w:themeShade="FF"/>
        </w:rPr>
        <w:t xml:space="preserve"> (density with mechanization/density without mechanization)}.</w:t>
      </w:r>
    </w:p>
    <w:sectPr w:rsidR="00746B78">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FFC"/>
    <w:rsid w:val="00071419"/>
    <w:rsid w:val="00235DE9"/>
    <w:rsid w:val="003A3419"/>
    <w:rsid w:val="005A0FFC"/>
    <w:rsid w:val="005C02C9"/>
    <w:rsid w:val="006E13F2"/>
    <w:rsid w:val="00746B78"/>
    <w:rsid w:val="00867B5C"/>
    <w:rsid w:val="00EC13F0"/>
    <w:rsid w:val="00EF2231"/>
    <w:rsid w:val="02B6CD94"/>
    <w:rsid w:val="1FF7E5A1"/>
    <w:rsid w:val="2DA559A2"/>
    <w:rsid w:val="3EDB0304"/>
    <w:rsid w:val="48512854"/>
    <w:rsid w:val="49356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26208"/>
  <w15:chartTrackingRefBased/>
  <w15:docId w15:val="{75480D47-F5F8-4BDD-B747-0E33609B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A0FFC"/>
    <w:rPr>
      <w:kern w:val="0"/>
      <w14:ligatures w14:val="none"/>
    </w:rPr>
  </w:style>
  <w:style w:type="paragraph" w:styleId="Heading2">
    <w:name w:val="heading 2"/>
    <w:basedOn w:val="Normal"/>
    <w:next w:val="Normal"/>
    <w:link w:val="Heading2Char"/>
    <w:uiPriority w:val="9"/>
    <w:unhideWhenUsed/>
    <w:qFormat/>
    <w:rsid w:val="005A0FFC"/>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5A0FFC"/>
    <w:rPr>
      <w:rFonts w:asciiTheme="majorHAnsi" w:hAnsiTheme="majorHAnsi" w:eastAsiaTheme="majorEastAsia"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83B35D35AD764DAB32DCE0403C7583" ma:contentTypeVersion="19" ma:contentTypeDescription="Create a new document." ma:contentTypeScope="" ma:versionID="0f3df53d06911005c68d178c9f69ddb6">
  <xsd:schema xmlns:xsd="http://www.w3.org/2001/XMLSchema" xmlns:xs="http://www.w3.org/2001/XMLSchema" xmlns:p="http://schemas.microsoft.com/office/2006/metadata/properties" xmlns:ns1="http://schemas.microsoft.com/sharepoint/v3" xmlns:ns2="4b60fcec-28c9-4e8b-a960-afa272afc1e1" xmlns:ns3="d82404bc-5d15-429b-8087-31844391c756" xmlns:ns4="f57df1ab-6810-4fa8-9caa-de92a9b262c5" targetNamespace="http://schemas.microsoft.com/office/2006/metadata/properties" ma:root="true" ma:fieldsID="c4957694d8340ab1946017058765e8e7" ns1:_="" ns2:_="" ns3:_="" ns4:_="">
    <xsd:import namespace="http://schemas.microsoft.com/sharepoint/v3"/>
    <xsd:import namespace="4b60fcec-28c9-4e8b-a960-afa272afc1e1"/>
    <xsd:import namespace="d82404bc-5d15-429b-8087-31844391c756"/>
    <xsd:import namespace="f57df1ab-6810-4fa8-9caa-de92a9b262c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60fcec-28c9-4e8b-a960-afa272afc1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2404bc-5d15-429b-8087-31844391c7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9237727-2d5d-4e23-8f2a-6a9ae84b626f}" ma:internalName="TaxCatchAll" ma:showField="CatchAllData" ma:web="d82404bc-5d15-429b-8087-31844391c7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b60fcec-28c9-4e8b-a960-afa272afc1e1">
      <Terms xmlns="http://schemas.microsoft.com/office/infopath/2007/PartnerControls"/>
    </lcf76f155ced4ddcb4097134ff3c332f>
    <TaxCatchAll xmlns="f57df1ab-6810-4fa8-9caa-de92a9b262c5"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18C865-6789-4040-9EEA-D33AB3864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60fcec-28c9-4e8b-a960-afa272afc1e1"/>
    <ds:schemaRef ds:uri="d82404bc-5d15-429b-8087-31844391c756"/>
    <ds:schemaRef ds:uri="f57df1ab-6810-4fa8-9caa-de92a9b26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EEB8D8-E041-4AF6-926C-B1F6A3F78546}">
  <ds:schemaRefs>
    <ds:schemaRef ds:uri="http://schemas.microsoft.com/office/2006/metadata/properties"/>
    <ds:schemaRef ds:uri="http://schemas.microsoft.com/office/infopath/2007/PartnerControls"/>
    <ds:schemaRef ds:uri="4b60fcec-28c9-4e8b-a960-afa272afc1e1"/>
    <ds:schemaRef ds:uri="f57df1ab-6810-4fa8-9caa-de92a9b262c5"/>
    <ds:schemaRef ds:uri="http://schemas.microsoft.com/sharepoint/v3"/>
  </ds:schemaRefs>
</ds:datastoreItem>
</file>

<file path=customXml/itemProps3.xml><?xml version="1.0" encoding="utf-8"?>
<ds:datastoreItem xmlns:ds="http://schemas.openxmlformats.org/officeDocument/2006/customXml" ds:itemID="{4B29CAE4-8616-43FF-818C-09754C885FF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Vivian Griffey</dc:creator>
  <keywords/>
  <dc:description/>
  <lastModifiedBy>Jaclyn Sadiua</lastModifiedBy>
  <revision>5</revision>
  <dcterms:created xsi:type="dcterms:W3CDTF">2023-09-19T23:27:00.0000000Z</dcterms:created>
  <dcterms:modified xsi:type="dcterms:W3CDTF">2024-05-16T19:08:47.2304826Z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0x0101007683B35D35AD764DAB32DCE0403C7583</vt:lpwstr>
  </property>
</Properties>
</file>