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024CD" w14:textId="07FA8D7E" w:rsidR="00F7037E" w:rsidRDefault="00000000" w:rsidP="00DC026A">
      <w:pPr>
        <w:spacing w:line="360" w:lineRule="auto"/>
        <w:outlineLvl w:val="0"/>
        <w:rPr>
          <w:rFonts w:ascii="Times New Roman" w:hAnsi="Times New Roman" w:cs="Times New Roman"/>
          <w:b/>
          <w:bCs/>
          <w:color w:val="1C1F23"/>
          <w:sz w:val="28"/>
          <w:szCs w:val="28"/>
          <w:shd w:val="clear" w:color="auto" w:fill="FFFFFF"/>
        </w:rPr>
      </w:pPr>
      <w:r>
        <w:rPr>
          <w:rFonts w:ascii="Times New Roman" w:hAnsi="Times New Roman" w:cs="Times New Roman" w:hint="eastAsia"/>
          <w:b/>
          <w:bCs/>
          <w:color w:val="1C1F23"/>
          <w:sz w:val="28"/>
          <w:szCs w:val="28"/>
          <w:shd w:val="clear" w:color="auto" w:fill="FFFFFF"/>
        </w:rPr>
        <w:t>Appendix</w:t>
      </w:r>
      <w:r w:rsidR="00DC026A">
        <w:rPr>
          <w:rFonts w:ascii="Times New Roman" w:hAnsi="Times New Roman" w:cs="Times New Roman" w:hint="eastAsia"/>
          <w:b/>
          <w:bCs/>
          <w:color w:val="1C1F23"/>
          <w:sz w:val="28"/>
          <w:szCs w:val="28"/>
          <w:shd w:val="clear" w:color="auto" w:fill="FFFFFF"/>
        </w:rPr>
        <w:t xml:space="preserve"> Figures and Tables</w:t>
      </w:r>
    </w:p>
    <w:p w14:paraId="1AF98450" w14:textId="77777777" w:rsidR="00F7037E" w:rsidRDefault="00000000">
      <w:pPr>
        <w:spacing w:line="360" w:lineRule="auto"/>
        <w:jc w:val="center"/>
        <w:rPr>
          <w:rFonts w:ascii="Times New Roman" w:hAnsi="Times New Roman"/>
        </w:rPr>
      </w:pPr>
      <w:r>
        <w:rPr>
          <w:rFonts w:ascii="Times New Roman" w:hAnsi="Times New Roman"/>
          <w:noProof/>
        </w:rPr>
        <w:drawing>
          <wp:inline distT="0" distB="0" distL="114300" distR="114300" wp14:anchorId="709C3C19" wp14:editId="34BA842B">
            <wp:extent cx="4904105" cy="4904105"/>
            <wp:effectExtent l="0" t="0" r="127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907464" cy="4907464"/>
                    </a:xfrm>
                    <a:prstGeom prst="rect">
                      <a:avLst/>
                    </a:prstGeom>
                    <a:noFill/>
                    <a:ln>
                      <a:noFill/>
                    </a:ln>
                  </pic:spPr>
                </pic:pic>
              </a:graphicData>
            </a:graphic>
          </wp:inline>
        </w:drawing>
      </w:r>
    </w:p>
    <w:p w14:paraId="71559F24" w14:textId="77777777" w:rsidR="00F7037E" w:rsidRDefault="00000000">
      <w:pPr>
        <w:jc w:val="center"/>
        <w:rPr>
          <w:rFonts w:ascii="Times New Roman" w:hAnsi="Times New Roman" w:cs="Times New Roman"/>
          <w:b/>
          <w:bCs/>
          <w:szCs w:val="21"/>
        </w:rPr>
      </w:pPr>
      <w:r>
        <w:rPr>
          <w:rStyle w:val="a3"/>
          <w:rFonts w:ascii="Times New Roman" w:eastAsia="Segoe UI" w:hAnsi="Times New Roman" w:cs="Times New Roman"/>
          <w:bCs/>
          <w:szCs w:val="21"/>
          <w:shd w:val="clear" w:color="auto" w:fill="FFFFFF"/>
        </w:rPr>
        <w:t xml:space="preserve">Figure </w:t>
      </w:r>
      <w:r>
        <w:rPr>
          <w:rStyle w:val="a3"/>
          <w:rFonts w:ascii="Times New Roman" w:hAnsi="Times New Roman" w:cs="Times New Roman"/>
          <w:bCs/>
          <w:szCs w:val="21"/>
          <w:shd w:val="clear" w:color="auto" w:fill="FFFFFF"/>
        </w:rPr>
        <w:t>A</w:t>
      </w:r>
      <w:r>
        <w:rPr>
          <w:rStyle w:val="a3"/>
          <w:rFonts w:ascii="Times New Roman" w:eastAsia="Segoe UI" w:hAnsi="Times New Roman" w:cs="Times New Roman"/>
          <w:bCs/>
          <w:szCs w:val="21"/>
          <w:shd w:val="clear" w:color="auto" w:fill="FFFFFF"/>
        </w:rPr>
        <w:t>1</w:t>
      </w:r>
      <w:r>
        <w:rPr>
          <w:rFonts w:ascii="Times New Roman" w:eastAsia="Segoe UI" w:hAnsi="Times New Roman" w:cs="Times New Roman"/>
          <w:b/>
          <w:bCs/>
          <w:szCs w:val="21"/>
          <w:shd w:val="clear" w:color="auto" w:fill="FFFFFF"/>
        </w:rPr>
        <w:t> </w:t>
      </w:r>
      <w:r>
        <w:rPr>
          <w:rFonts w:ascii="Times New Roman" w:hAnsi="Times New Roman" w:cs="Times New Roman" w:hint="eastAsia"/>
          <w:b/>
          <w:bCs/>
          <w:szCs w:val="21"/>
          <w:shd w:val="clear" w:color="auto" w:fill="FFFFFF"/>
        </w:rPr>
        <w:t>Treatment</w:t>
      </w:r>
      <w:r>
        <w:rPr>
          <w:rFonts w:ascii="Times New Roman" w:eastAsia="Segoe UI" w:hAnsi="Times New Roman" w:cs="Times New Roman"/>
          <w:b/>
          <w:bCs/>
          <w:szCs w:val="21"/>
          <w:shd w:val="clear" w:color="auto" w:fill="FFFFFF"/>
        </w:rPr>
        <w:t xml:space="preserve"> Status of the </w:t>
      </w:r>
      <w:r>
        <w:rPr>
          <w:rFonts w:ascii="Times New Roman" w:hAnsi="Times New Roman" w:cs="Times New Roman"/>
          <w:b/>
          <w:bCs/>
          <w:szCs w:val="21"/>
          <w:shd w:val="clear" w:color="auto" w:fill="FFFFFF"/>
        </w:rPr>
        <w:t>STIDPP</w:t>
      </w:r>
      <w:r>
        <w:rPr>
          <w:rFonts w:ascii="Times New Roman" w:hAnsi="Times New Roman" w:cs="Times New Roman" w:hint="eastAsia"/>
          <w:b/>
          <w:bCs/>
          <w:szCs w:val="21"/>
          <w:shd w:val="clear" w:color="auto" w:fill="FFFFFF"/>
        </w:rPr>
        <w:t xml:space="preserve"> (2006-2022)</w:t>
      </w:r>
    </w:p>
    <w:p w14:paraId="42F93AAB" w14:textId="77777777" w:rsidR="00DC026A" w:rsidRDefault="00DC026A">
      <w:pPr>
        <w:sectPr w:rsidR="00DC026A">
          <w:pgSz w:w="11906" w:h="16838"/>
          <w:pgMar w:top="1440" w:right="1800" w:bottom="1440" w:left="1800" w:header="851" w:footer="992" w:gutter="0"/>
          <w:cols w:space="0"/>
          <w:docGrid w:linePitch="312"/>
        </w:sectPr>
      </w:pPr>
    </w:p>
    <w:p w14:paraId="4CC5A85B" w14:textId="77777777" w:rsidR="00F7037E" w:rsidRDefault="00000000">
      <w:pPr>
        <w:spacing w:line="360" w:lineRule="auto"/>
        <w:jc w:val="center"/>
        <w:rPr>
          <w:rFonts w:ascii="Times New Roman" w:hAnsi="Times New Roman"/>
        </w:rPr>
      </w:pPr>
      <w:r>
        <w:rPr>
          <w:rFonts w:ascii="Times New Roman" w:hAnsi="Times New Roman"/>
          <w:noProof/>
        </w:rPr>
        <w:lastRenderedPageBreak/>
        <w:drawing>
          <wp:inline distT="0" distB="0" distL="114300" distR="114300" wp14:anchorId="726D2D79" wp14:editId="61768293">
            <wp:extent cx="3928745" cy="2857500"/>
            <wp:effectExtent l="0" t="0" r="508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3928745" cy="2857500"/>
                    </a:xfrm>
                    <a:prstGeom prst="rect">
                      <a:avLst/>
                    </a:prstGeom>
                    <a:noFill/>
                    <a:ln>
                      <a:noFill/>
                    </a:ln>
                  </pic:spPr>
                </pic:pic>
              </a:graphicData>
            </a:graphic>
          </wp:inline>
        </w:drawing>
      </w:r>
    </w:p>
    <w:p w14:paraId="55D876CF" w14:textId="77777777" w:rsidR="00F7037E" w:rsidRDefault="00000000">
      <w:pPr>
        <w:widowControl/>
        <w:shd w:val="clear" w:color="auto" w:fill="FFFFFF"/>
        <w:spacing w:line="360" w:lineRule="auto"/>
        <w:jc w:val="center"/>
        <w:rPr>
          <w:rFonts w:ascii="Times New Roman" w:hAnsi="Times New Roman" w:cs="Times New Roman"/>
          <w:b/>
          <w:bCs/>
          <w:szCs w:val="21"/>
        </w:rPr>
      </w:pPr>
      <w:r>
        <w:rPr>
          <w:rFonts w:ascii="Times New Roman" w:hAnsi="Times New Roman" w:cs="Times New Roman"/>
          <w:b/>
          <w:bCs/>
          <w:szCs w:val="21"/>
        </w:rPr>
        <w:t xml:space="preserve">Figure </w:t>
      </w:r>
      <w:r>
        <w:rPr>
          <w:rFonts w:ascii="Times New Roman" w:hAnsi="Times New Roman" w:cs="Times New Roman" w:hint="eastAsia"/>
          <w:b/>
          <w:bCs/>
          <w:szCs w:val="21"/>
        </w:rPr>
        <w:t>A2</w:t>
      </w:r>
      <w:r>
        <w:rPr>
          <w:rFonts w:ascii="Times New Roman" w:hAnsi="Times New Roman" w:cs="Times New Roman"/>
          <w:b/>
          <w:bCs/>
          <w:szCs w:val="21"/>
        </w:rPr>
        <w:t xml:space="preserve"> Bacon </w:t>
      </w:r>
      <w:r>
        <w:rPr>
          <w:rFonts w:ascii="Times New Roman" w:hAnsi="Times New Roman" w:cs="Times New Roman" w:hint="eastAsia"/>
          <w:b/>
          <w:bCs/>
          <w:szCs w:val="21"/>
        </w:rPr>
        <w:t>D</w:t>
      </w:r>
      <w:r>
        <w:rPr>
          <w:rFonts w:ascii="Times New Roman" w:hAnsi="Times New Roman" w:cs="Times New Roman"/>
          <w:b/>
          <w:bCs/>
          <w:szCs w:val="21"/>
        </w:rPr>
        <w:t xml:space="preserve">ecomposition </w:t>
      </w:r>
      <w:r>
        <w:rPr>
          <w:rFonts w:ascii="Times New Roman" w:hAnsi="Times New Roman" w:cs="Times New Roman" w:hint="eastAsia"/>
          <w:b/>
          <w:bCs/>
          <w:szCs w:val="21"/>
        </w:rPr>
        <w:t>Estimates</w:t>
      </w:r>
    </w:p>
    <w:p w14:paraId="4EF413D4" w14:textId="77777777" w:rsidR="00DC026A" w:rsidRDefault="00000000" w:rsidP="00DC026A">
      <w:pPr>
        <w:widowControl/>
        <w:shd w:val="clear" w:color="auto" w:fill="FFFFFF"/>
        <w:rPr>
          <w:rFonts w:ascii="Times New Roman" w:hAnsi="Times New Roman" w:cs="Times New Roman"/>
          <w:szCs w:val="21"/>
        </w:rPr>
        <w:sectPr w:rsidR="00DC026A">
          <w:pgSz w:w="11906" w:h="16838"/>
          <w:pgMar w:top="1440" w:right="1800" w:bottom="1440" w:left="1800" w:header="851" w:footer="992" w:gutter="0"/>
          <w:cols w:space="0"/>
          <w:docGrid w:linePitch="312"/>
        </w:sectPr>
      </w:pPr>
      <w:r>
        <w:rPr>
          <w:rFonts w:ascii="Times New Roman" w:hAnsi="Times New Roman" w:cs="Times New Roman" w:hint="eastAsia"/>
          <w:szCs w:val="21"/>
        </w:rPr>
        <w:t xml:space="preserve">Notes: </w:t>
      </w:r>
      <w:r w:rsidR="00DC026A" w:rsidRPr="00DC026A">
        <w:rPr>
          <w:rFonts w:ascii="Times New Roman" w:hAnsi="Times New Roman" w:cs="Times New Roman" w:hint="eastAsia"/>
          <w:szCs w:val="21"/>
        </w:rPr>
        <w:t xml:space="preserve">Following </w:t>
      </w:r>
      <w:r w:rsidR="00DC026A" w:rsidRPr="00DC026A">
        <w:rPr>
          <w:rFonts w:ascii="Times New Roman" w:hAnsi="Times New Roman" w:cs="Times New Roman"/>
          <w:color w:val="0000FF"/>
          <w:szCs w:val="21"/>
        </w:rPr>
        <w:t xml:space="preserve">Goodman-Bacon </w:t>
      </w:r>
      <w:r w:rsidR="00DC026A" w:rsidRPr="00DC026A">
        <w:rPr>
          <w:rFonts w:ascii="Times New Roman" w:hAnsi="Times New Roman" w:cs="Times New Roman"/>
          <w:color w:val="0000FF"/>
          <w:szCs w:val="21"/>
        </w:rPr>
        <w:fldChar w:fldCharType="begin"/>
      </w:r>
      <w:r w:rsidR="00DC026A" w:rsidRPr="00DC026A">
        <w:rPr>
          <w:rFonts w:ascii="Times New Roman" w:hAnsi="Times New Roman" w:cs="Times New Roman"/>
          <w:color w:val="0000FF"/>
          <w:szCs w:val="21"/>
        </w:rPr>
        <w:instrText xml:space="preserve"> ADDIN ZOTERO_ITEM CSL_CITATION {"citationID":"I1sKdtiB","properties":{"formattedCitation":"(2021)","plainCitation":"(2021)","noteIndex":0},"citationItems":[{"id":97,"uris":["http://zotero.org/users/15376412/items/W4MY83EX"],"itemData":{"id":97,"type":"article-journal","abstract":"The canonical difference-in-differences (DD) estimator contains two time periods, ”pre” and ”post”, and two groups, ”treatment” and ”control”. Most DD applications, however, exploit variation across groups of units that receive treatment at different times. This paper shows that the two-way fixed effects estimator equals a weighted average of all possible two-group/two-period DD estimators in the data. A causal interpretation of two-way fixed effects DD estimates requires both a parallel trends assumption and treatment effects that are constant over time. I show how to decompose the difference between two specifications, and provide a new analysis of models that include time-varying controls.","call-number":"3","collection-title":"Themed Issue: Treatment Effect 1","container-title":"Journal of Econometrics","DOI":"10.1016/j.jeconom.2021.03.014","ISSN":"0304-4076","issue":"2","journalAbbreviation":"Journal of Econometrics","language":"en","page":"254-277","source":"9.9","title":"Difference-in-differences with variation in treatment timing","volume":"225","author":[{"family":"Goodman-Bacon","given":"Andrew"}],"issued":{"date-parts":[["2021",12,1]]}},"suppress-author":true}],"schema":"https://github.com/citation-style-language/schema/raw/master/csl-citation.json"} </w:instrText>
      </w:r>
      <w:r w:rsidR="00DC026A" w:rsidRPr="00DC026A">
        <w:rPr>
          <w:rFonts w:ascii="Times New Roman" w:hAnsi="Times New Roman" w:cs="Times New Roman"/>
          <w:color w:val="0000FF"/>
          <w:szCs w:val="21"/>
        </w:rPr>
        <w:fldChar w:fldCharType="separate"/>
      </w:r>
      <w:r w:rsidR="00DC026A" w:rsidRPr="00DC026A">
        <w:rPr>
          <w:rFonts w:ascii="Times New Roman" w:hAnsi="Times New Roman" w:cs="Times New Roman"/>
          <w:color w:val="0000FF"/>
          <w:szCs w:val="21"/>
        </w:rPr>
        <w:t>(2021)</w:t>
      </w:r>
      <w:r w:rsidR="00DC026A" w:rsidRPr="00DC026A">
        <w:rPr>
          <w:rFonts w:ascii="Times New Roman" w:hAnsi="Times New Roman" w:cs="Times New Roman"/>
          <w:color w:val="0000FF"/>
          <w:szCs w:val="21"/>
        </w:rPr>
        <w:fldChar w:fldCharType="end"/>
      </w:r>
      <w:r w:rsidR="00DC026A" w:rsidRPr="00DC026A">
        <w:rPr>
          <w:rFonts w:ascii="Times New Roman" w:hAnsi="Times New Roman" w:cs="Times New Roman" w:hint="eastAsia"/>
          <w:szCs w:val="21"/>
        </w:rPr>
        <w:t xml:space="preserve">, </w:t>
      </w:r>
      <w:r w:rsidR="00DC026A" w:rsidRPr="00DC026A">
        <w:rPr>
          <w:rFonts w:ascii="Times New Roman" w:hAnsi="Times New Roman" w:cs="Times New Roman"/>
          <w:szCs w:val="21"/>
        </w:rPr>
        <w:t xml:space="preserve">we </w:t>
      </w:r>
      <w:r w:rsidR="00DC026A" w:rsidRPr="00DC026A">
        <w:rPr>
          <w:rFonts w:ascii="Times New Roman" w:hAnsi="Times New Roman" w:cs="Times New Roman" w:hint="eastAsia"/>
          <w:szCs w:val="21"/>
        </w:rPr>
        <w:t>decompose the overall</w:t>
      </w:r>
      <w:r w:rsidR="00DC026A" w:rsidRPr="00DC026A">
        <w:rPr>
          <w:rFonts w:ascii="Times New Roman" w:hAnsi="Times New Roman" w:cs="Times New Roman"/>
          <w:szCs w:val="21"/>
        </w:rPr>
        <w:t xml:space="preserve"> TWFE estimator </w:t>
      </w:r>
      <w:r w:rsidR="00DC026A" w:rsidRPr="00DC026A">
        <w:rPr>
          <w:rFonts w:ascii="Times New Roman" w:hAnsi="Times New Roman" w:cs="Times New Roman" w:hint="eastAsia"/>
          <w:szCs w:val="21"/>
        </w:rPr>
        <w:t>in</w:t>
      </w:r>
      <w:r w:rsidR="00DC026A" w:rsidRPr="00DC026A">
        <w:rPr>
          <w:rFonts w:ascii="Times New Roman" w:hAnsi="Times New Roman" w:cs="Times New Roman"/>
          <w:szCs w:val="21"/>
        </w:rPr>
        <w:t>to</w:t>
      </w:r>
      <w:r w:rsidR="00DC026A" w:rsidRPr="00DC026A">
        <w:rPr>
          <w:rFonts w:ascii="Times New Roman" w:hAnsi="Times New Roman" w:cs="Times New Roman" w:hint="eastAsia"/>
          <w:szCs w:val="21"/>
        </w:rPr>
        <w:t xml:space="preserve"> </w:t>
      </w:r>
      <w:r w:rsidR="00DC026A" w:rsidRPr="00DC026A">
        <w:rPr>
          <w:rFonts w:ascii="Times New Roman" w:hAnsi="Times New Roman" w:cs="Times New Roman"/>
          <w:szCs w:val="21"/>
        </w:rPr>
        <w:t>weighted averages of all possible two-group, two-period DID comparisons, allowing for an explicit evaluation of the identifying variation</w:t>
      </w:r>
      <w:r w:rsidR="00DC026A" w:rsidRPr="00DC026A">
        <w:rPr>
          <w:rFonts w:ascii="Times New Roman" w:hAnsi="Times New Roman" w:cs="Times New Roman" w:hint="eastAsia"/>
          <w:szCs w:val="21"/>
        </w:rPr>
        <w:t>. The majority of the identifying weight (97.3%) comes from comparisons between treated and never-treated groups, which are generally considered the mos</w:t>
      </w:r>
      <w:r w:rsidR="00DC026A" w:rsidRPr="00DC026A">
        <w:rPr>
          <w:rFonts w:ascii="Times New Roman" w:hAnsi="Times New Roman" w:cs="Times New Roman"/>
          <w:szCs w:val="21"/>
        </w:rPr>
        <w:t>t</w:t>
      </w:r>
      <w:r w:rsidR="00DC026A" w:rsidRPr="00DC026A">
        <w:rPr>
          <w:rFonts w:ascii="Times New Roman" w:hAnsi="Times New Roman" w:cs="Times New Roman" w:hint="eastAsia"/>
          <w:szCs w:val="21"/>
        </w:rPr>
        <w:t xml:space="preserve"> </w:t>
      </w:r>
      <w:r w:rsidR="00DC026A" w:rsidRPr="00DC026A">
        <w:rPr>
          <w:rFonts w:ascii="Times New Roman" w:hAnsi="Times New Roman" w:cs="Times New Roman"/>
          <w:szCs w:val="21"/>
        </w:rPr>
        <w:t>reliable</w:t>
      </w:r>
      <w:r w:rsidR="00DC026A" w:rsidRPr="00DC026A">
        <w:rPr>
          <w:rFonts w:ascii="Times New Roman" w:hAnsi="Times New Roman" w:cs="Times New Roman" w:hint="eastAsia"/>
          <w:szCs w:val="21"/>
        </w:rPr>
        <w:t xml:space="preserve"> source of identification under standard DID assumption</w:t>
      </w:r>
      <w:r w:rsidR="00DC026A" w:rsidRPr="00DC026A">
        <w:rPr>
          <w:rFonts w:ascii="Times New Roman" w:hAnsi="Times New Roman" w:cs="Times New Roman"/>
          <w:szCs w:val="21"/>
        </w:rPr>
        <w:t>s</w:t>
      </w:r>
      <w:r w:rsidR="00DC026A" w:rsidRPr="00DC026A">
        <w:rPr>
          <w:rFonts w:ascii="Times New Roman" w:hAnsi="Times New Roman" w:cs="Times New Roman" w:hint="eastAsia"/>
          <w:szCs w:val="21"/>
        </w:rPr>
        <w:t>. Only 0.5% of the total weight is assigned to comparisons between later-treated and early-treated groups, suggesting that bias from dynamic treatment timing is minimal.</w:t>
      </w:r>
      <w:r w:rsidR="00DC026A">
        <w:rPr>
          <w:rFonts w:ascii="Times New Roman" w:hAnsi="Times New Roman" w:cs="Times New Roman" w:hint="eastAsia"/>
          <w:szCs w:val="21"/>
        </w:rPr>
        <w:t xml:space="preserve"> </w:t>
      </w:r>
      <w:r w:rsidR="00DC026A" w:rsidRPr="00DC026A">
        <w:rPr>
          <w:rFonts w:ascii="Times New Roman" w:hAnsi="Times New Roman" w:cs="Times New Roman"/>
          <w:b/>
          <w:bCs/>
          <w:szCs w:val="21"/>
        </w:rPr>
        <w:t xml:space="preserve">Figure </w:t>
      </w:r>
      <w:r w:rsidR="00DC026A" w:rsidRPr="00DC026A">
        <w:rPr>
          <w:rFonts w:ascii="Times New Roman" w:hAnsi="Times New Roman" w:cs="Times New Roman" w:hint="eastAsia"/>
          <w:b/>
          <w:bCs/>
          <w:szCs w:val="21"/>
        </w:rPr>
        <w:t>A2</w:t>
      </w:r>
      <w:r w:rsidR="00DC026A" w:rsidRPr="00DC026A">
        <w:rPr>
          <w:rFonts w:ascii="Times New Roman" w:hAnsi="Times New Roman" w:cs="Times New Roman"/>
          <w:szCs w:val="21"/>
        </w:rPr>
        <w:t xml:space="preserve"> visualizes the Bacon decomposition results, showing that the estimated effects are predominantly driven by comparisons between treated and never-treated </w:t>
      </w:r>
      <w:r w:rsidR="00DC026A" w:rsidRPr="00DC026A">
        <w:rPr>
          <w:rFonts w:ascii="Times New Roman" w:hAnsi="Times New Roman" w:cs="Times New Roman" w:hint="eastAsia"/>
          <w:szCs w:val="21"/>
        </w:rPr>
        <w:t>group</w:t>
      </w:r>
      <w:r w:rsidR="00DC026A" w:rsidRPr="00DC026A">
        <w:rPr>
          <w:rFonts w:ascii="Times New Roman" w:hAnsi="Times New Roman" w:cs="Times New Roman"/>
          <w:szCs w:val="21"/>
        </w:rPr>
        <w:t>s. The treatment effects from these comparisons are consistently negative, lending further support to the robustness of the baseline TWFE estimates.</w:t>
      </w:r>
      <w:r w:rsidR="00DC026A">
        <w:rPr>
          <w:rFonts w:ascii="Times New Roman" w:hAnsi="Times New Roman" w:cs="Times New Roman" w:hint="eastAsia"/>
          <w:szCs w:val="21"/>
        </w:rPr>
        <w:t xml:space="preserve"> </w:t>
      </w:r>
      <w:r w:rsidRPr="00DC026A">
        <w:rPr>
          <w:rFonts w:ascii="Times New Roman" w:hAnsi="Times New Roman" w:cs="Times New Roman" w:hint="eastAsia"/>
          <w:szCs w:val="21"/>
        </w:rPr>
        <w:t xml:space="preserve">The weights for </w:t>
      </w:r>
      <w:r w:rsidRPr="00DC026A">
        <w:rPr>
          <w:rFonts w:ascii="Times New Roman" w:hAnsi="Times New Roman" w:cs="Times New Roman"/>
          <w:szCs w:val="21"/>
        </w:rPr>
        <w:t>“</w:t>
      </w:r>
      <w:r w:rsidRPr="00DC026A">
        <w:rPr>
          <w:rFonts w:ascii="Times New Roman" w:eastAsia="宋体" w:hAnsi="Times New Roman" w:cs="Times New Roman" w:hint="eastAsia"/>
          <w:color w:val="000000"/>
          <w:szCs w:val="21"/>
        </w:rPr>
        <w:t xml:space="preserve">Early </w:t>
      </w:r>
      <w:r w:rsidRPr="00DC026A">
        <w:rPr>
          <w:rFonts w:ascii="Times New Roman" w:eastAsia="宋体" w:hAnsi="Times New Roman" w:cs="Times New Roman"/>
          <w:color w:val="000000"/>
          <w:szCs w:val="21"/>
        </w:rPr>
        <w:t xml:space="preserve">treatment vs. </w:t>
      </w:r>
      <w:r w:rsidRPr="00DC026A">
        <w:rPr>
          <w:rFonts w:ascii="Times New Roman" w:eastAsia="宋体" w:hAnsi="Times New Roman" w:cs="Times New Roman" w:hint="eastAsia"/>
          <w:color w:val="000000"/>
          <w:szCs w:val="21"/>
        </w:rPr>
        <w:t xml:space="preserve">Later </w:t>
      </w:r>
      <w:r w:rsidRPr="00DC026A">
        <w:rPr>
          <w:rFonts w:ascii="Times New Roman" w:eastAsia="宋体" w:hAnsi="Times New Roman" w:cs="Times New Roman"/>
          <w:color w:val="000000"/>
          <w:szCs w:val="21"/>
        </w:rPr>
        <w:t>treatment</w:t>
      </w:r>
      <w:r w:rsidRPr="00DC026A">
        <w:rPr>
          <w:rFonts w:ascii="Times New Roman" w:hAnsi="Times New Roman" w:cs="Times New Roman"/>
          <w:szCs w:val="21"/>
        </w:rPr>
        <w:t>”</w:t>
      </w:r>
      <w:r w:rsidRPr="00DC026A">
        <w:rPr>
          <w:rFonts w:ascii="Times New Roman" w:hAnsi="Times New Roman" w:cs="Times New Roman" w:hint="eastAsia"/>
          <w:szCs w:val="21"/>
        </w:rPr>
        <w:t xml:space="preserve">, </w:t>
      </w:r>
      <w:r w:rsidRPr="00DC026A">
        <w:rPr>
          <w:rFonts w:ascii="Times New Roman" w:hAnsi="Times New Roman" w:cs="Times New Roman"/>
          <w:szCs w:val="21"/>
        </w:rPr>
        <w:t>“</w:t>
      </w:r>
      <w:r w:rsidRPr="00DC026A">
        <w:rPr>
          <w:rFonts w:ascii="Times New Roman" w:eastAsia="宋体" w:hAnsi="Times New Roman" w:cs="Times New Roman" w:hint="eastAsia"/>
          <w:color w:val="000000"/>
          <w:szCs w:val="21"/>
        </w:rPr>
        <w:t xml:space="preserve">Later </w:t>
      </w:r>
      <w:r w:rsidRPr="00DC026A">
        <w:rPr>
          <w:rFonts w:ascii="Times New Roman" w:eastAsia="宋体" w:hAnsi="Times New Roman" w:cs="Times New Roman"/>
          <w:color w:val="000000"/>
          <w:szCs w:val="21"/>
        </w:rPr>
        <w:t xml:space="preserve">treatment vs. </w:t>
      </w:r>
      <w:r w:rsidRPr="00DC026A">
        <w:rPr>
          <w:rFonts w:ascii="Times New Roman" w:eastAsia="宋体" w:hAnsi="Times New Roman" w:cs="Times New Roman" w:hint="eastAsia"/>
          <w:color w:val="000000"/>
          <w:szCs w:val="21"/>
        </w:rPr>
        <w:t xml:space="preserve">Early </w:t>
      </w:r>
      <w:r w:rsidRPr="00DC026A">
        <w:rPr>
          <w:rFonts w:ascii="Times New Roman" w:eastAsia="宋体" w:hAnsi="Times New Roman" w:cs="Times New Roman"/>
          <w:color w:val="000000"/>
          <w:szCs w:val="21"/>
        </w:rPr>
        <w:t>treatment</w:t>
      </w:r>
      <w:r w:rsidRPr="00DC026A">
        <w:rPr>
          <w:rFonts w:ascii="Times New Roman" w:hAnsi="Times New Roman" w:cs="Times New Roman"/>
          <w:szCs w:val="21"/>
        </w:rPr>
        <w:t>”</w:t>
      </w:r>
      <w:r w:rsidRPr="00DC026A">
        <w:rPr>
          <w:rFonts w:ascii="Times New Roman" w:hAnsi="Times New Roman" w:cs="Times New Roman" w:hint="eastAsia"/>
          <w:szCs w:val="21"/>
        </w:rPr>
        <w:t xml:space="preserve">, and </w:t>
      </w:r>
      <w:r w:rsidRPr="00DC026A">
        <w:rPr>
          <w:rFonts w:ascii="Times New Roman" w:hAnsi="Times New Roman" w:cs="Times New Roman"/>
          <w:szCs w:val="21"/>
        </w:rPr>
        <w:t>“Time-varying treatment vs. Never-treated”</w:t>
      </w:r>
      <w:r w:rsidRPr="00DC026A">
        <w:rPr>
          <w:rFonts w:ascii="Times New Roman" w:hAnsi="Times New Roman" w:cs="Times New Roman" w:hint="eastAsia"/>
          <w:szCs w:val="21"/>
        </w:rPr>
        <w:t xml:space="preserve"> are 0.022, 0.005, and 0.973, respectively.</w:t>
      </w:r>
    </w:p>
    <w:p w14:paraId="40D6F004" w14:textId="77777777" w:rsidR="00F7037E" w:rsidRDefault="00000000">
      <w:pPr>
        <w:spacing w:line="360" w:lineRule="auto"/>
        <w:jc w:val="center"/>
        <w:rPr>
          <w:rFonts w:ascii="Times New Roman" w:hAnsi="Times New Roman"/>
        </w:rPr>
      </w:pPr>
      <w:r>
        <w:rPr>
          <w:rFonts w:ascii="Times New Roman" w:hAnsi="Times New Roman"/>
          <w:noProof/>
        </w:rPr>
        <w:lastRenderedPageBreak/>
        <w:drawing>
          <wp:inline distT="0" distB="0" distL="114300" distR="114300" wp14:anchorId="1A7C38EA" wp14:editId="2AA037FC">
            <wp:extent cx="3982720" cy="2389505"/>
            <wp:effectExtent l="0" t="0" r="8255" b="127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3982720" cy="2389505"/>
                    </a:xfrm>
                    <a:prstGeom prst="rect">
                      <a:avLst/>
                    </a:prstGeom>
                    <a:noFill/>
                    <a:ln>
                      <a:noFill/>
                    </a:ln>
                  </pic:spPr>
                </pic:pic>
              </a:graphicData>
            </a:graphic>
          </wp:inline>
        </w:drawing>
      </w:r>
    </w:p>
    <w:p w14:paraId="10C29E0D" w14:textId="77777777" w:rsidR="00F7037E" w:rsidRDefault="00000000">
      <w:pPr>
        <w:widowControl/>
        <w:shd w:val="clear" w:color="auto" w:fill="FFFFFF"/>
        <w:jc w:val="center"/>
        <w:rPr>
          <w:rFonts w:ascii="Times New Roman" w:hAnsi="Times New Roman" w:cs="Times New Roman"/>
          <w:b/>
          <w:bCs/>
          <w:szCs w:val="21"/>
        </w:rPr>
      </w:pPr>
      <w:r>
        <w:rPr>
          <w:rFonts w:ascii="Times New Roman" w:hAnsi="Times New Roman" w:cs="Times New Roman"/>
          <w:b/>
          <w:bCs/>
          <w:szCs w:val="21"/>
        </w:rPr>
        <w:t xml:space="preserve">Figure </w:t>
      </w:r>
      <w:r>
        <w:rPr>
          <w:rFonts w:ascii="Times New Roman" w:hAnsi="Times New Roman" w:cs="Times New Roman" w:hint="eastAsia"/>
          <w:b/>
          <w:bCs/>
          <w:szCs w:val="21"/>
        </w:rPr>
        <w:t xml:space="preserve">A3 </w:t>
      </w:r>
      <w:r>
        <w:rPr>
          <w:rFonts w:ascii="Times New Roman" w:hAnsi="Times New Roman" w:cs="Times New Roman"/>
          <w:b/>
          <w:bCs/>
          <w:szCs w:val="21"/>
        </w:rPr>
        <w:t xml:space="preserve">Placebo </w:t>
      </w:r>
      <w:r>
        <w:rPr>
          <w:rFonts w:ascii="Times New Roman" w:hAnsi="Times New Roman" w:cs="Times New Roman" w:hint="eastAsia"/>
          <w:b/>
          <w:bCs/>
          <w:szCs w:val="21"/>
        </w:rPr>
        <w:t>T</w:t>
      </w:r>
      <w:r>
        <w:rPr>
          <w:rFonts w:ascii="Times New Roman" w:hAnsi="Times New Roman" w:cs="Times New Roman"/>
          <w:b/>
          <w:bCs/>
          <w:szCs w:val="21"/>
        </w:rPr>
        <w:t>est</w:t>
      </w:r>
    </w:p>
    <w:p w14:paraId="2540E141" w14:textId="4E07C323" w:rsidR="00DC026A" w:rsidRPr="00DC026A" w:rsidRDefault="00DC026A" w:rsidP="00DC026A">
      <w:pPr>
        <w:widowControl/>
        <w:shd w:val="clear" w:color="auto" w:fill="FFFFFF"/>
        <w:rPr>
          <w:rFonts w:ascii="Times New Roman" w:hAnsi="Times New Roman" w:cs="Times New Roman"/>
          <w:szCs w:val="21"/>
        </w:rPr>
      </w:pPr>
      <w:r w:rsidRPr="00DC026A">
        <w:rPr>
          <w:rFonts w:ascii="Times New Roman" w:hAnsi="Times New Roman" w:cs="Times New Roman"/>
          <w:szCs w:val="21"/>
        </w:rPr>
        <w:t>Notes: To further corroborate the causal identification strategy, we perform a placebo test through the random assignment of treatment status and implementation year among cities. Specifically, we conduct 1000 iterations in which the treatment group and timing are reassigned at random.</w:t>
      </w:r>
      <w:r w:rsidRPr="00DC026A">
        <w:rPr>
          <w:rFonts w:ascii="Times New Roman" w:hAnsi="Times New Roman" w:cs="Times New Roman"/>
          <w:b/>
          <w:bCs/>
          <w:szCs w:val="21"/>
        </w:rPr>
        <w:t xml:space="preserve"> Figure A3</w:t>
      </w:r>
      <w:r w:rsidRPr="00DC026A">
        <w:rPr>
          <w:rFonts w:ascii="Times New Roman" w:hAnsi="Times New Roman" w:cs="Times New Roman"/>
          <w:szCs w:val="21"/>
        </w:rPr>
        <w:t xml:space="preserve"> depicts the kernel density distribution of the placebo estimates. The distribution is tightly centered around zero, with no mass near the actual estimated effect of -0.089. Moreover, the vast majority of p-values exceed the 10% significance level, indicating that the observed carbon mitigation effect is unlikely to be attributable to spurious correlations or omitted confounding variables.</w:t>
      </w:r>
    </w:p>
    <w:p w14:paraId="69B04E8A" w14:textId="77777777" w:rsidR="00DC026A" w:rsidRDefault="00DC026A">
      <w:pPr>
        <w:sectPr w:rsidR="00DC026A">
          <w:pgSz w:w="11906" w:h="16838"/>
          <w:pgMar w:top="1440" w:right="1800" w:bottom="1440" w:left="1800" w:header="851" w:footer="992" w:gutter="0"/>
          <w:cols w:space="0"/>
          <w:docGrid w:linePitch="312"/>
        </w:sectPr>
      </w:pPr>
    </w:p>
    <w:p w14:paraId="11F6935C" w14:textId="36AA0A40" w:rsidR="00E31146" w:rsidRPr="00E31146" w:rsidRDefault="00E31146" w:rsidP="00E31146">
      <w:pPr>
        <w:widowControl/>
        <w:shd w:val="clear" w:color="auto" w:fill="FFFFFF"/>
        <w:spacing w:line="360" w:lineRule="auto"/>
        <w:jc w:val="center"/>
        <w:rPr>
          <w:rFonts w:ascii="Times New Roman" w:hAnsi="Times New Roman" w:cs="Times New Roman"/>
          <w:b/>
          <w:bCs/>
          <w:color w:val="EE0000"/>
          <w:szCs w:val="21"/>
        </w:rPr>
      </w:pPr>
      <w:r w:rsidRPr="00E31146">
        <w:rPr>
          <w:rFonts w:ascii="Times New Roman" w:hAnsi="Times New Roman" w:cs="Times New Roman"/>
          <w:b/>
          <w:bCs/>
          <w:color w:val="EE0000"/>
          <w:szCs w:val="21"/>
        </w:rPr>
        <w:lastRenderedPageBreak/>
        <w:t xml:space="preserve">Table </w:t>
      </w:r>
      <w:r w:rsidRPr="00E31146">
        <w:rPr>
          <w:rFonts w:ascii="Times New Roman" w:hAnsi="Times New Roman" w:cs="Times New Roman" w:hint="eastAsia"/>
          <w:b/>
          <w:bCs/>
          <w:color w:val="EE0000"/>
          <w:szCs w:val="21"/>
        </w:rPr>
        <w:t>A1</w:t>
      </w:r>
      <w:r w:rsidRPr="00E31146">
        <w:rPr>
          <w:rFonts w:ascii="Times New Roman" w:hAnsi="Times New Roman" w:cs="Times New Roman"/>
          <w:b/>
          <w:bCs/>
          <w:color w:val="EE0000"/>
          <w:szCs w:val="21"/>
        </w:rPr>
        <w:t xml:space="preserve"> Overview of STIDPP Pilot Cohorts and Rollout Schedule</w:t>
      </w:r>
    </w:p>
    <w:tbl>
      <w:tblPr>
        <w:tblW w:w="5000" w:type="pct"/>
        <w:jc w:val="center"/>
        <w:tblBorders>
          <w:bottom w:val="single" w:sz="4" w:space="0" w:color="auto"/>
        </w:tblBorders>
        <w:tblLook w:val="04A0" w:firstRow="1" w:lastRow="0" w:firstColumn="1" w:lastColumn="0" w:noHBand="0" w:noVBand="1"/>
      </w:tblPr>
      <w:tblGrid>
        <w:gridCol w:w="835"/>
        <w:gridCol w:w="1967"/>
        <w:gridCol w:w="5720"/>
      </w:tblGrid>
      <w:tr w:rsidR="00E31146" w:rsidRPr="00E31146" w14:paraId="4F1CD731" w14:textId="77777777" w:rsidTr="00E31146">
        <w:trPr>
          <w:jc w:val="center"/>
        </w:trPr>
        <w:tc>
          <w:tcPr>
            <w:tcW w:w="490" w:type="pct"/>
            <w:tcBorders>
              <w:top w:val="single" w:sz="12" w:space="0" w:color="auto"/>
              <w:left w:val="nil"/>
              <w:bottom w:val="single" w:sz="4" w:space="0" w:color="auto"/>
              <w:right w:val="nil"/>
              <w:tl2br w:val="nil"/>
              <w:tr2bl w:val="nil"/>
            </w:tcBorders>
            <w:shd w:val="clear" w:color="auto" w:fill="FFFFFF"/>
          </w:tcPr>
          <w:p w14:paraId="71F2DB27" w14:textId="23A816F4" w:rsidR="00E31146" w:rsidRPr="00E31146" w:rsidRDefault="00E31146" w:rsidP="00F44F2E">
            <w:pPr>
              <w:widowControl/>
              <w:spacing w:line="360" w:lineRule="auto"/>
              <w:jc w:val="left"/>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Batch</w:t>
            </w:r>
          </w:p>
        </w:tc>
        <w:tc>
          <w:tcPr>
            <w:tcW w:w="1154" w:type="pct"/>
            <w:tcBorders>
              <w:top w:val="single" w:sz="12" w:space="0" w:color="auto"/>
              <w:left w:val="nil"/>
              <w:bottom w:val="single" w:sz="4" w:space="0" w:color="auto"/>
              <w:right w:val="nil"/>
              <w:tl2br w:val="nil"/>
              <w:tr2bl w:val="nil"/>
            </w:tcBorders>
            <w:shd w:val="clear" w:color="auto" w:fill="FFFFFF"/>
          </w:tcPr>
          <w:p w14:paraId="0CCE4A27" w14:textId="7B92BFFB" w:rsidR="00E31146" w:rsidRPr="00E31146" w:rsidRDefault="00E31146" w:rsidP="00F44F2E">
            <w:pPr>
              <w:widowControl/>
              <w:spacing w:line="360" w:lineRule="auto"/>
              <w:jc w:val="center"/>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Implementation year</w:t>
            </w:r>
          </w:p>
        </w:tc>
        <w:tc>
          <w:tcPr>
            <w:tcW w:w="3356" w:type="pct"/>
            <w:tcBorders>
              <w:top w:val="single" w:sz="12" w:space="0" w:color="auto"/>
              <w:left w:val="nil"/>
              <w:bottom w:val="single" w:sz="4" w:space="0" w:color="auto"/>
              <w:right w:val="nil"/>
              <w:tl2br w:val="nil"/>
              <w:tr2bl w:val="nil"/>
            </w:tcBorders>
            <w:shd w:val="clear" w:color="auto" w:fill="FFFFFF"/>
          </w:tcPr>
          <w:p w14:paraId="60FF6BB2" w14:textId="50B990B2" w:rsidR="00E31146" w:rsidRPr="00E31146" w:rsidRDefault="00E31146" w:rsidP="00F44F2E">
            <w:pPr>
              <w:widowControl/>
              <w:spacing w:line="360" w:lineRule="auto"/>
              <w:jc w:val="center"/>
              <w:rPr>
                <w:rFonts w:ascii="Times New Roman" w:eastAsia="宋体" w:hAnsi="Times New Roman" w:cs="Times New Roman" w:hint="eastAsia"/>
                <w:color w:val="EE0000"/>
                <w:szCs w:val="21"/>
              </w:rPr>
            </w:pPr>
            <w:r w:rsidRPr="00E31146">
              <w:rPr>
                <w:rFonts w:ascii="Times New Roman" w:eastAsia="宋体" w:hAnsi="Times New Roman" w:cs="Times New Roman" w:hint="eastAsia"/>
                <w:color w:val="EE0000"/>
                <w:szCs w:val="21"/>
              </w:rPr>
              <w:t xml:space="preserve">Pilot </w:t>
            </w:r>
            <w:r w:rsidR="00D34385">
              <w:rPr>
                <w:rFonts w:ascii="Times New Roman" w:eastAsia="宋体" w:hAnsi="Times New Roman" w:cs="Times New Roman" w:hint="eastAsia"/>
                <w:color w:val="EE0000"/>
                <w:szCs w:val="21"/>
              </w:rPr>
              <w:t>cities</w:t>
            </w:r>
          </w:p>
        </w:tc>
      </w:tr>
      <w:tr w:rsidR="00E31146" w:rsidRPr="00E31146" w14:paraId="1379A5F3" w14:textId="77777777" w:rsidTr="00E31146">
        <w:trPr>
          <w:jc w:val="center"/>
        </w:trPr>
        <w:tc>
          <w:tcPr>
            <w:tcW w:w="490" w:type="pct"/>
            <w:tcBorders>
              <w:top w:val="single" w:sz="4" w:space="0" w:color="auto"/>
              <w:left w:val="nil"/>
              <w:bottom w:val="nil"/>
              <w:right w:val="nil"/>
              <w:tl2br w:val="nil"/>
              <w:tr2bl w:val="nil"/>
            </w:tcBorders>
            <w:shd w:val="clear" w:color="auto" w:fill="FFFFFF"/>
          </w:tcPr>
          <w:p w14:paraId="1DB07356" w14:textId="2748C99F" w:rsidR="00E31146" w:rsidRPr="00E31146" w:rsidRDefault="00E31146" w:rsidP="00F44F2E">
            <w:pPr>
              <w:widowControl/>
              <w:spacing w:line="360" w:lineRule="auto"/>
              <w:jc w:val="left"/>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First</w:t>
            </w:r>
          </w:p>
        </w:tc>
        <w:tc>
          <w:tcPr>
            <w:tcW w:w="1154" w:type="pct"/>
            <w:tcBorders>
              <w:top w:val="single" w:sz="4" w:space="0" w:color="auto"/>
              <w:left w:val="nil"/>
              <w:bottom w:val="nil"/>
              <w:right w:val="nil"/>
              <w:tl2br w:val="nil"/>
              <w:tr2bl w:val="nil"/>
            </w:tcBorders>
            <w:shd w:val="clear" w:color="auto" w:fill="FFFFFF"/>
          </w:tcPr>
          <w:p w14:paraId="1545593A" w14:textId="73CD4518" w:rsidR="00E31146" w:rsidRPr="00E31146" w:rsidRDefault="00E31146" w:rsidP="00F44F2E">
            <w:pPr>
              <w:widowControl/>
              <w:spacing w:line="360" w:lineRule="auto"/>
              <w:jc w:val="center"/>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2016.02</w:t>
            </w:r>
          </w:p>
        </w:tc>
        <w:tc>
          <w:tcPr>
            <w:tcW w:w="3356" w:type="pct"/>
            <w:tcBorders>
              <w:top w:val="single" w:sz="4" w:space="0" w:color="auto"/>
              <w:left w:val="nil"/>
              <w:bottom w:val="nil"/>
              <w:right w:val="nil"/>
              <w:tl2br w:val="nil"/>
              <w:tr2bl w:val="nil"/>
            </w:tcBorders>
            <w:shd w:val="clear" w:color="auto" w:fill="FFFFFF"/>
          </w:tcPr>
          <w:p w14:paraId="207CB547" w14:textId="2F173792" w:rsidR="00E31146" w:rsidRPr="00E31146" w:rsidRDefault="00E31146" w:rsidP="00F44F2E">
            <w:pPr>
              <w:widowControl/>
              <w:spacing w:line="360" w:lineRule="auto"/>
              <w:jc w:val="center"/>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Tianjin, Shanghai, Hainan, Shenzhen, Hangzhou, Wuhan, Guangzhou, Chengdu, Suzhou, Weihai, Harbin, Nanjing, Chongqing, Guiyang, Anshun, Xi</w:t>
            </w:r>
            <w:r w:rsidRPr="00E31146">
              <w:rPr>
                <w:rFonts w:ascii="Times New Roman" w:eastAsia="宋体" w:hAnsi="Times New Roman" w:cs="Times New Roman"/>
                <w:color w:val="EE0000"/>
                <w:szCs w:val="21"/>
              </w:rPr>
              <w:t>’</w:t>
            </w:r>
            <w:r w:rsidRPr="00E31146">
              <w:rPr>
                <w:rFonts w:ascii="Times New Roman" w:eastAsia="宋体" w:hAnsi="Times New Roman" w:cs="Times New Roman" w:hint="eastAsia"/>
                <w:color w:val="EE0000"/>
                <w:szCs w:val="21"/>
              </w:rPr>
              <w:t>an, Xianyang</w:t>
            </w:r>
          </w:p>
        </w:tc>
      </w:tr>
      <w:tr w:rsidR="00E31146" w:rsidRPr="00E31146" w14:paraId="52C35A3E" w14:textId="77777777" w:rsidTr="00E31146">
        <w:trPr>
          <w:jc w:val="center"/>
        </w:trPr>
        <w:tc>
          <w:tcPr>
            <w:tcW w:w="490" w:type="pct"/>
            <w:tcBorders>
              <w:top w:val="nil"/>
              <w:left w:val="nil"/>
              <w:bottom w:val="nil"/>
              <w:right w:val="nil"/>
              <w:tl2br w:val="nil"/>
              <w:tr2bl w:val="nil"/>
            </w:tcBorders>
            <w:shd w:val="clear" w:color="auto" w:fill="FFFFFF"/>
          </w:tcPr>
          <w:p w14:paraId="20784958" w14:textId="55AFE17C" w:rsidR="00E31146" w:rsidRPr="00E31146" w:rsidRDefault="00E31146" w:rsidP="00F44F2E">
            <w:pPr>
              <w:widowControl/>
              <w:spacing w:line="360" w:lineRule="auto"/>
              <w:jc w:val="left"/>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Second</w:t>
            </w:r>
          </w:p>
        </w:tc>
        <w:tc>
          <w:tcPr>
            <w:tcW w:w="1154" w:type="pct"/>
            <w:tcBorders>
              <w:top w:val="nil"/>
              <w:left w:val="nil"/>
              <w:bottom w:val="nil"/>
              <w:right w:val="nil"/>
              <w:tl2br w:val="nil"/>
              <w:tr2bl w:val="nil"/>
            </w:tcBorders>
            <w:shd w:val="clear" w:color="auto" w:fill="FFFFFF"/>
          </w:tcPr>
          <w:p w14:paraId="41A286F1" w14:textId="41D72D0F" w:rsidR="00E31146" w:rsidRPr="00E31146" w:rsidRDefault="00E31146" w:rsidP="00F44F2E">
            <w:pPr>
              <w:widowControl/>
              <w:spacing w:line="360" w:lineRule="auto"/>
              <w:jc w:val="center"/>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2018.06</w:t>
            </w:r>
          </w:p>
        </w:tc>
        <w:tc>
          <w:tcPr>
            <w:tcW w:w="3356" w:type="pct"/>
            <w:tcBorders>
              <w:top w:val="nil"/>
              <w:left w:val="nil"/>
              <w:bottom w:val="nil"/>
              <w:right w:val="nil"/>
              <w:tl2br w:val="nil"/>
              <w:tr2bl w:val="nil"/>
            </w:tcBorders>
            <w:shd w:val="clear" w:color="auto" w:fill="FFFFFF"/>
          </w:tcPr>
          <w:p w14:paraId="131F9A74" w14:textId="1163607A" w:rsidR="00E31146" w:rsidRPr="00E31146" w:rsidRDefault="00E31146" w:rsidP="00F44F2E">
            <w:pPr>
              <w:widowControl/>
              <w:spacing w:line="360" w:lineRule="auto"/>
              <w:jc w:val="center"/>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 xml:space="preserve">Beijing, Baoding </w:t>
            </w:r>
          </w:p>
        </w:tc>
      </w:tr>
      <w:tr w:rsidR="00E31146" w:rsidRPr="00E31146" w14:paraId="708DA478" w14:textId="77777777" w:rsidTr="00E31146">
        <w:trPr>
          <w:jc w:val="center"/>
        </w:trPr>
        <w:tc>
          <w:tcPr>
            <w:tcW w:w="490" w:type="pct"/>
            <w:tcBorders>
              <w:top w:val="nil"/>
              <w:left w:val="nil"/>
              <w:bottom w:val="single" w:sz="12" w:space="0" w:color="000000"/>
              <w:right w:val="nil"/>
              <w:tl2br w:val="nil"/>
              <w:tr2bl w:val="nil"/>
            </w:tcBorders>
            <w:shd w:val="clear" w:color="auto" w:fill="FFFFFF"/>
          </w:tcPr>
          <w:p w14:paraId="7BF74640" w14:textId="1E26D7C3" w:rsidR="00E31146" w:rsidRPr="00E31146" w:rsidRDefault="00E31146" w:rsidP="00F44F2E">
            <w:pPr>
              <w:spacing w:line="360" w:lineRule="auto"/>
              <w:jc w:val="left"/>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Third</w:t>
            </w:r>
          </w:p>
        </w:tc>
        <w:tc>
          <w:tcPr>
            <w:tcW w:w="1154" w:type="pct"/>
            <w:tcBorders>
              <w:top w:val="nil"/>
              <w:left w:val="nil"/>
              <w:bottom w:val="single" w:sz="12" w:space="0" w:color="000000"/>
              <w:right w:val="nil"/>
              <w:tl2br w:val="nil"/>
              <w:tr2bl w:val="nil"/>
            </w:tcBorders>
            <w:shd w:val="clear" w:color="auto" w:fill="FFFFFF"/>
          </w:tcPr>
          <w:p w14:paraId="584F0DB1" w14:textId="72A8C0FD" w:rsidR="00E31146" w:rsidRPr="00E31146" w:rsidRDefault="00E31146" w:rsidP="00F44F2E">
            <w:pPr>
              <w:widowControl/>
              <w:spacing w:line="360" w:lineRule="auto"/>
              <w:jc w:val="center"/>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2020.08</w:t>
            </w:r>
          </w:p>
        </w:tc>
        <w:tc>
          <w:tcPr>
            <w:tcW w:w="3356" w:type="pct"/>
            <w:tcBorders>
              <w:top w:val="nil"/>
              <w:left w:val="nil"/>
              <w:bottom w:val="single" w:sz="12" w:space="0" w:color="000000"/>
              <w:right w:val="nil"/>
              <w:tl2br w:val="nil"/>
              <w:tr2bl w:val="nil"/>
            </w:tcBorders>
            <w:shd w:val="clear" w:color="auto" w:fill="FFFFFF"/>
          </w:tcPr>
          <w:p w14:paraId="6BCD36A9" w14:textId="4637DFBA" w:rsidR="00E31146" w:rsidRPr="00E31146" w:rsidRDefault="00E31146" w:rsidP="00F44F2E">
            <w:pPr>
              <w:widowControl/>
              <w:spacing w:line="360" w:lineRule="auto"/>
              <w:jc w:val="center"/>
              <w:rPr>
                <w:rFonts w:ascii="Times New Roman" w:eastAsia="宋体" w:hAnsi="Times New Roman" w:cs="Times New Roman"/>
                <w:color w:val="EE0000"/>
                <w:szCs w:val="21"/>
              </w:rPr>
            </w:pPr>
            <w:r w:rsidRPr="00E31146">
              <w:rPr>
                <w:rFonts w:ascii="Times New Roman" w:eastAsia="宋体" w:hAnsi="Times New Roman" w:cs="Times New Roman" w:hint="eastAsia"/>
                <w:color w:val="EE0000"/>
                <w:szCs w:val="21"/>
              </w:rPr>
              <w:t>Dalian, Xiamen, Qingdao, Shijiazhuang, Changchun, Hefei, Jinan, Kunming, Urumqi</w:t>
            </w:r>
          </w:p>
        </w:tc>
      </w:tr>
    </w:tbl>
    <w:p w14:paraId="7658003E" w14:textId="77777777" w:rsidR="00E31146" w:rsidRDefault="00E31146">
      <w:pPr>
        <w:widowControl/>
        <w:shd w:val="clear" w:color="auto" w:fill="FFFFFF"/>
        <w:spacing w:line="360" w:lineRule="auto"/>
        <w:jc w:val="center"/>
        <w:rPr>
          <w:rFonts w:ascii="Times New Roman" w:hAnsi="Times New Roman" w:cs="Times New Roman"/>
          <w:b/>
          <w:bCs/>
          <w:szCs w:val="21"/>
        </w:rPr>
      </w:pPr>
    </w:p>
    <w:p w14:paraId="21A69227" w14:textId="77777777" w:rsidR="00E31146" w:rsidRDefault="00E31146">
      <w:pPr>
        <w:widowControl/>
        <w:shd w:val="clear" w:color="auto" w:fill="FFFFFF"/>
        <w:spacing w:line="360" w:lineRule="auto"/>
        <w:jc w:val="center"/>
        <w:rPr>
          <w:rFonts w:ascii="Times New Roman" w:hAnsi="Times New Roman" w:cs="Times New Roman"/>
          <w:b/>
          <w:bCs/>
          <w:szCs w:val="21"/>
        </w:rPr>
      </w:pPr>
    </w:p>
    <w:p w14:paraId="65CF3FA0" w14:textId="08E520C7" w:rsidR="00F7037E" w:rsidRDefault="00000000">
      <w:pPr>
        <w:widowControl/>
        <w:shd w:val="clear" w:color="auto" w:fill="FFFFFF"/>
        <w:spacing w:line="360" w:lineRule="auto"/>
        <w:jc w:val="center"/>
        <w:rPr>
          <w:rFonts w:ascii="Times New Roman" w:hAnsi="Times New Roman" w:cs="Times New Roman"/>
          <w:b/>
          <w:bCs/>
          <w:szCs w:val="21"/>
        </w:rPr>
      </w:pPr>
      <w:r>
        <w:rPr>
          <w:rFonts w:ascii="Times New Roman" w:hAnsi="Times New Roman" w:cs="Times New Roman"/>
          <w:b/>
          <w:bCs/>
          <w:szCs w:val="21"/>
        </w:rPr>
        <w:t xml:space="preserve">Table </w:t>
      </w:r>
      <w:r>
        <w:rPr>
          <w:rFonts w:ascii="Times New Roman" w:hAnsi="Times New Roman" w:cs="Times New Roman" w:hint="eastAsia"/>
          <w:b/>
          <w:bCs/>
          <w:szCs w:val="21"/>
        </w:rPr>
        <w:t>A</w:t>
      </w:r>
      <w:r w:rsidR="00E31146">
        <w:rPr>
          <w:rFonts w:ascii="Times New Roman" w:hAnsi="Times New Roman" w:cs="Times New Roman" w:hint="eastAsia"/>
          <w:b/>
          <w:bCs/>
          <w:szCs w:val="21"/>
        </w:rPr>
        <w:t>2</w:t>
      </w:r>
      <w:r>
        <w:rPr>
          <w:rFonts w:ascii="Times New Roman" w:hAnsi="Times New Roman" w:cs="Times New Roman"/>
          <w:b/>
          <w:bCs/>
          <w:szCs w:val="21"/>
        </w:rPr>
        <w:t xml:space="preserve"> Results </w:t>
      </w:r>
      <w:r>
        <w:rPr>
          <w:rFonts w:ascii="Times New Roman" w:hAnsi="Times New Roman" w:cs="Times New Roman" w:hint="eastAsia"/>
          <w:b/>
          <w:bCs/>
          <w:szCs w:val="21"/>
        </w:rPr>
        <w:t>C</w:t>
      </w:r>
      <w:r>
        <w:rPr>
          <w:rFonts w:ascii="Times New Roman" w:hAnsi="Times New Roman" w:cs="Times New Roman"/>
          <w:b/>
          <w:bCs/>
          <w:szCs w:val="21"/>
        </w:rPr>
        <w:t xml:space="preserve">onsidering </w:t>
      </w:r>
      <w:r>
        <w:rPr>
          <w:rFonts w:ascii="Times New Roman" w:hAnsi="Times New Roman" w:cs="Times New Roman" w:hint="eastAsia"/>
          <w:b/>
          <w:bCs/>
          <w:szCs w:val="21"/>
        </w:rPr>
        <w:t>T</w:t>
      </w:r>
      <w:r>
        <w:rPr>
          <w:rFonts w:ascii="Times New Roman" w:hAnsi="Times New Roman" w:cs="Times New Roman"/>
          <w:b/>
          <w:bCs/>
          <w:szCs w:val="21"/>
        </w:rPr>
        <w:t xml:space="preserve">ime </w:t>
      </w:r>
      <w:r>
        <w:rPr>
          <w:rFonts w:ascii="Times New Roman" w:hAnsi="Times New Roman" w:cs="Times New Roman" w:hint="eastAsia"/>
          <w:b/>
          <w:bCs/>
          <w:szCs w:val="21"/>
        </w:rPr>
        <w:t>T</w:t>
      </w:r>
      <w:r>
        <w:rPr>
          <w:rFonts w:ascii="Times New Roman" w:hAnsi="Times New Roman" w:cs="Times New Roman"/>
          <w:b/>
          <w:bCs/>
          <w:szCs w:val="21"/>
        </w:rPr>
        <w:t xml:space="preserve">rends, </w:t>
      </w:r>
      <w:r>
        <w:rPr>
          <w:rFonts w:ascii="Times New Roman" w:hAnsi="Times New Roman" w:cs="Times New Roman" w:hint="eastAsia"/>
          <w:b/>
          <w:bCs/>
          <w:szCs w:val="21"/>
        </w:rPr>
        <w:t>L</w:t>
      </w:r>
      <w:r>
        <w:rPr>
          <w:rFonts w:ascii="Times New Roman" w:hAnsi="Times New Roman" w:cs="Times New Roman"/>
          <w:b/>
          <w:bCs/>
          <w:szCs w:val="21"/>
        </w:rPr>
        <w:t>ag</w:t>
      </w:r>
      <w:r>
        <w:rPr>
          <w:rFonts w:ascii="Times New Roman" w:hAnsi="Times New Roman" w:cs="Times New Roman" w:hint="eastAsia"/>
          <w:b/>
          <w:bCs/>
          <w:szCs w:val="21"/>
        </w:rPr>
        <w:t>ged</w:t>
      </w:r>
      <w:r>
        <w:rPr>
          <w:rFonts w:ascii="Times New Roman" w:hAnsi="Times New Roman" w:cs="Times New Roman"/>
          <w:b/>
          <w:bCs/>
          <w:szCs w:val="21"/>
        </w:rPr>
        <w:t xml:space="preserve"> </w:t>
      </w:r>
      <w:r>
        <w:rPr>
          <w:rFonts w:ascii="Times New Roman" w:hAnsi="Times New Roman" w:cs="Times New Roman" w:hint="eastAsia"/>
          <w:b/>
          <w:bCs/>
          <w:szCs w:val="21"/>
        </w:rPr>
        <w:t>E</w:t>
      </w:r>
      <w:r>
        <w:rPr>
          <w:rFonts w:ascii="Times New Roman" w:hAnsi="Times New Roman" w:cs="Times New Roman"/>
          <w:b/>
          <w:bCs/>
          <w:szCs w:val="21"/>
        </w:rPr>
        <w:t xml:space="preserve">ffects, and </w:t>
      </w:r>
      <w:r>
        <w:rPr>
          <w:rFonts w:ascii="Times New Roman" w:hAnsi="Times New Roman" w:cs="Times New Roman" w:hint="eastAsia"/>
          <w:b/>
          <w:bCs/>
          <w:szCs w:val="21"/>
        </w:rPr>
        <w:t>Alternative</w:t>
      </w:r>
      <w:r>
        <w:rPr>
          <w:rFonts w:ascii="Times New Roman" w:hAnsi="Times New Roman" w:cs="Times New Roman"/>
          <w:b/>
          <w:bCs/>
          <w:szCs w:val="21"/>
        </w:rPr>
        <w:t xml:space="preserve"> </w:t>
      </w:r>
      <w:r>
        <w:rPr>
          <w:rFonts w:ascii="Times New Roman" w:hAnsi="Times New Roman" w:cs="Times New Roman" w:hint="eastAsia"/>
          <w:b/>
          <w:bCs/>
          <w:szCs w:val="21"/>
        </w:rPr>
        <w:t>T</w:t>
      </w:r>
      <w:r>
        <w:rPr>
          <w:rFonts w:ascii="Times New Roman" w:hAnsi="Times New Roman" w:cs="Times New Roman"/>
          <w:b/>
          <w:bCs/>
          <w:szCs w:val="21"/>
        </w:rPr>
        <w:t xml:space="preserve">ime </w:t>
      </w:r>
      <w:r>
        <w:rPr>
          <w:rFonts w:ascii="Times New Roman" w:hAnsi="Times New Roman" w:cs="Times New Roman" w:hint="eastAsia"/>
          <w:b/>
          <w:bCs/>
          <w:szCs w:val="21"/>
        </w:rPr>
        <w:t>W</w:t>
      </w:r>
      <w:r>
        <w:rPr>
          <w:rFonts w:ascii="Times New Roman" w:hAnsi="Times New Roman" w:cs="Times New Roman"/>
          <w:b/>
          <w:bCs/>
          <w:szCs w:val="21"/>
        </w:rPr>
        <w:t>indows</w:t>
      </w:r>
    </w:p>
    <w:tbl>
      <w:tblPr>
        <w:tblW w:w="4999" w:type="pct"/>
        <w:jc w:val="center"/>
        <w:tblBorders>
          <w:bottom w:val="single" w:sz="4" w:space="0" w:color="auto"/>
        </w:tblBorders>
        <w:tblLook w:val="04A0" w:firstRow="1" w:lastRow="0" w:firstColumn="1" w:lastColumn="0" w:noHBand="0" w:noVBand="1"/>
      </w:tblPr>
      <w:tblGrid>
        <w:gridCol w:w="1473"/>
        <w:gridCol w:w="1193"/>
        <w:gridCol w:w="1193"/>
        <w:gridCol w:w="1193"/>
        <w:gridCol w:w="1075"/>
        <w:gridCol w:w="1193"/>
        <w:gridCol w:w="1200"/>
      </w:tblGrid>
      <w:tr w:rsidR="00F7037E" w14:paraId="561C8663" w14:textId="77777777">
        <w:trPr>
          <w:jc w:val="center"/>
        </w:trPr>
        <w:tc>
          <w:tcPr>
            <w:tcW w:w="864" w:type="pct"/>
            <w:vMerge w:val="restart"/>
            <w:tcBorders>
              <w:top w:val="single" w:sz="12" w:space="0" w:color="000000"/>
              <w:left w:val="nil"/>
              <w:bottom w:val="single" w:sz="4" w:space="0" w:color="000000"/>
              <w:right w:val="nil"/>
              <w:tl2br w:val="nil"/>
              <w:tr2bl w:val="nil"/>
            </w:tcBorders>
            <w:shd w:val="clear" w:color="auto" w:fill="FFFFFF"/>
            <w:vAlign w:val="center"/>
          </w:tcPr>
          <w:p w14:paraId="5AC8D8D5" w14:textId="77777777" w:rsidR="00F7037E" w:rsidRDefault="00000000">
            <w:pPr>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Variable</w:t>
            </w:r>
            <w:r>
              <w:rPr>
                <w:rFonts w:ascii="Times New Roman" w:eastAsia="宋体" w:hAnsi="Times New Roman" w:cs="Times New Roman" w:hint="eastAsia"/>
                <w:color w:val="000000"/>
                <w:szCs w:val="21"/>
              </w:rPr>
              <w:t>s</w:t>
            </w:r>
          </w:p>
        </w:tc>
        <w:tc>
          <w:tcPr>
            <w:tcW w:w="4135" w:type="pct"/>
            <w:gridSpan w:val="6"/>
            <w:tcBorders>
              <w:top w:val="single" w:sz="12" w:space="0" w:color="000000"/>
              <w:left w:val="nil"/>
              <w:bottom w:val="single" w:sz="4" w:space="0" w:color="000000"/>
              <w:right w:val="nil"/>
              <w:tl2br w:val="nil"/>
              <w:tr2bl w:val="nil"/>
            </w:tcBorders>
            <w:shd w:val="clear" w:color="auto" w:fill="FFFFFF"/>
            <w:vAlign w:val="center"/>
          </w:tcPr>
          <w:p w14:paraId="663338F2"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ln</w:t>
            </w:r>
            <w:r>
              <w:rPr>
                <w:rFonts w:ascii="Times New Roman" w:eastAsia="宋体" w:hAnsi="Times New Roman" w:cs="Times New Roman"/>
                <w:i/>
                <w:color w:val="000000"/>
                <w:szCs w:val="21"/>
              </w:rPr>
              <w:t>CO</w:t>
            </w:r>
            <w:r>
              <w:rPr>
                <w:rFonts w:ascii="Times New Roman" w:eastAsia="宋体" w:hAnsi="Times New Roman" w:cs="Times New Roman"/>
                <w:color w:val="000000"/>
                <w:szCs w:val="21"/>
              </w:rPr>
              <w:t>2</w:t>
            </w:r>
          </w:p>
        </w:tc>
      </w:tr>
      <w:tr w:rsidR="00F7037E" w14:paraId="08F3F1ED" w14:textId="77777777">
        <w:trPr>
          <w:jc w:val="center"/>
        </w:trPr>
        <w:tc>
          <w:tcPr>
            <w:tcW w:w="864" w:type="pct"/>
            <w:vMerge/>
            <w:tcBorders>
              <w:top w:val="single" w:sz="4" w:space="0" w:color="000000"/>
              <w:left w:val="nil"/>
              <w:bottom w:val="single" w:sz="4" w:space="0" w:color="auto"/>
              <w:right w:val="nil"/>
              <w:tl2br w:val="nil"/>
              <w:tr2bl w:val="nil"/>
            </w:tcBorders>
            <w:shd w:val="clear" w:color="auto" w:fill="FFFFFF"/>
            <w:vAlign w:val="center"/>
          </w:tcPr>
          <w:p w14:paraId="1F5C6214" w14:textId="77777777" w:rsidR="00F7037E" w:rsidRDefault="00F7037E">
            <w:pPr>
              <w:widowControl/>
              <w:spacing w:line="360" w:lineRule="auto"/>
              <w:jc w:val="left"/>
              <w:rPr>
                <w:rFonts w:ascii="Times New Roman" w:eastAsia="宋体" w:hAnsi="Times New Roman" w:cs="Times New Roman"/>
                <w:color w:val="000000"/>
                <w:szCs w:val="21"/>
              </w:rPr>
            </w:pPr>
          </w:p>
        </w:tc>
        <w:tc>
          <w:tcPr>
            <w:tcW w:w="700" w:type="pct"/>
            <w:tcBorders>
              <w:top w:val="single" w:sz="4" w:space="0" w:color="000000"/>
              <w:left w:val="nil"/>
              <w:bottom w:val="single" w:sz="4" w:space="0" w:color="auto"/>
              <w:right w:val="nil"/>
              <w:tl2br w:val="nil"/>
              <w:tr2bl w:val="nil"/>
            </w:tcBorders>
            <w:shd w:val="clear" w:color="auto" w:fill="FFFFFF"/>
            <w:vAlign w:val="center"/>
          </w:tcPr>
          <w:p w14:paraId="362B5223"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hint="eastAsia"/>
                <w:color w:val="000000"/>
                <w:szCs w:val="21"/>
              </w:rPr>
              <w:t>1</w:t>
            </w:r>
            <w:r>
              <w:rPr>
                <w:rFonts w:ascii="Times New Roman" w:eastAsia="宋体" w:hAnsi="Times New Roman" w:cs="Times New Roman"/>
                <w:color w:val="000000"/>
                <w:szCs w:val="21"/>
              </w:rPr>
              <w:t>)</w:t>
            </w:r>
          </w:p>
        </w:tc>
        <w:tc>
          <w:tcPr>
            <w:tcW w:w="700" w:type="pct"/>
            <w:tcBorders>
              <w:top w:val="single" w:sz="4" w:space="0" w:color="000000"/>
              <w:left w:val="nil"/>
              <w:bottom w:val="single" w:sz="4" w:space="0" w:color="auto"/>
              <w:right w:val="nil"/>
              <w:tl2br w:val="nil"/>
              <w:tr2bl w:val="nil"/>
            </w:tcBorders>
            <w:shd w:val="clear" w:color="auto" w:fill="FFFFFF"/>
            <w:vAlign w:val="center"/>
          </w:tcPr>
          <w:p w14:paraId="36FADD62"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hint="eastAsia"/>
                <w:color w:val="000000"/>
                <w:szCs w:val="21"/>
              </w:rPr>
              <w:t>2</w:t>
            </w:r>
            <w:r>
              <w:rPr>
                <w:rFonts w:ascii="Times New Roman" w:eastAsia="宋体" w:hAnsi="Times New Roman" w:cs="Times New Roman"/>
                <w:color w:val="000000"/>
                <w:szCs w:val="21"/>
              </w:rPr>
              <w:t>)</w:t>
            </w:r>
          </w:p>
        </w:tc>
        <w:tc>
          <w:tcPr>
            <w:tcW w:w="700" w:type="pct"/>
            <w:tcBorders>
              <w:top w:val="single" w:sz="4" w:space="0" w:color="000000"/>
              <w:left w:val="nil"/>
              <w:bottom w:val="single" w:sz="4" w:space="0" w:color="auto"/>
              <w:right w:val="nil"/>
              <w:tl2br w:val="nil"/>
              <w:tr2bl w:val="nil"/>
            </w:tcBorders>
            <w:shd w:val="clear" w:color="auto" w:fill="FFFFFF"/>
            <w:vAlign w:val="center"/>
          </w:tcPr>
          <w:p w14:paraId="510BDC2E"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hint="eastAsia"/>
                <w:color w:val="000000"/>
                <w:szCs w:val="21"/>
              </w:rPr>
              <w:t>3</w:t>
            </w:r>
            <w:r>
              <w:rPr>
                <w:rFonts w:ascii="Times New Roman" w:eastAsia="宋体" w:hAnsi="Times New Roman" w:cs="Times New Roman"/>
                <w:color w:val="000000"/>
                <w:szCs w:val="21"/>
              </w:rPr>
              <w:t>)</w:t>
            </w:r>
          </w:p>
        </w:tc>
        <w:tc>
          <w:tcPr>
            <w:tcW w:w="631" w:type="pct"/>
            <w:tcBorders>
              <w:top w:val="single" w:sz="4" w:space="0" w:color="000000"/>
              <w:left w:val="nil"/>
              <w:bottom w:val="single" w:sz="4" w:space="0" w:color="auto"/>
              <w:right w:val="nil"/>
              <w:tl2br w:val="nil"/>
              <w:tr2bl w:val="nil"/>
            </w:tcBorders>
            <w:shd w:val="clear" w:color="auto" w:fill="FFFFFF"/>
            <w:vAlign w:val="center"/>
          </w:tcPr>
          <w:p w14:paraId="4F0AB9E9"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hint="eastAsia"/>
                <w:color w:val="000000"/>
                <w:szCs w:val="21"/>
              </w:rPr>
              <w:t>4</w:t>
            </w:r>
            <w:r>
              <w:rPr>
                <w:rFonts w:ascii="Times New Roman" w:eastAsia="宋体" w:hAnsi="Times New Roman" w:cs="Times New Roman"/>
                <w:color w:val="000000"/>
                <w:szCs w:val="21"/>
              </w:rPr>
              <w:t>)</w:t>
            </w:r>
          </w:p>
        </w:tc>
        <w:tc>
          <w:tcPr>
            <w:tcW w:w="700" w:type="pct"/>
            <w:tcBorders>
              <w:top w:val="single" w:sz="4" w:space="0" w:color="000000"/>
              <w:left w:val="nil"/>
              <w:bottom w:val="single" w:sz="4" w:space="0" w:color="auto"/>
              <w:right w:val="nil"/>
              <w:tl2br w:val="nil"/>
              <w:tr2bl w:val="nil"/>
            </w:tcBorders>
            <w:shd w:val="clear" w:color="auto" w:fill="FFFFFF"/>
            <w:vAlign w:val="center"/>
          </w:tcPr>
          <w:p w14:paraId="698AFA61"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hint="eastAsia"/>
                <w:color w:val="000000"/>
                <w:szCs w:val="21"/>
              </w:rPr>
              <w:t>5</w:t>
            </w:r>
            <w:r>
              <w:rPr>
                <w:rFonts w:ascii="Times New Roman" w:eastAsia="宋体" w:hAnsi="Times New Roman" w:cs="Times New Roman"/>
                <w:color w:val="000000"/>
                <w:szCs w:val="21"/>
              </w:rPr>
              <w:t>)</w:t>
            </w:r>
          </w:p>
        </w:tc>
        <w:tc>
          <w:tcPr>
            <w:tcW w:w="701" w:type="pct"/>
            <w:tcBorders>
              <w:top w:val="single" w:sz="4" w:space="0" w:color="000000"/>
              <w:left w:val="nil"/>
              <w:bottom w:val="single" w:sz="4" w:space="0" w:color="auto"/>
              <w:right w:val="nil"/>
              <w:tl2br w:val="nil"/>
              <w:tr2bl w:val="nil"/>
            </w:tcBorders>
            <w:shd w:val="clear" w:color="auto" w:fill="FFFFFF"/>
            <w:vAlign w:val="center"/>
          </w:tcPr>
          <w:p w14:paraId="13B45A2B"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r>
              <w:rPr>
                <w:rFonts w:ascii="Times New Roman" w:eastAsia="宋体" w:hAnsi="Times New Roman" w:cs="Times New Roman" w:hint="eastAsia"/>
                <w:color w:val="000000"/>
                <w:szCs w:val="21"/>
              </w:rPr>
              <w:t>6</w:t>
            </w:r>
            <w:r>
              <w:rPr>
                <w:rFonts w:ascii="Times New Roman" w:eastAsia="宋体" w:hAnsi="Times New Roman" w:cs="Times New Roman"/>
                <w:color w:val="000000"/>
                <w:szCs w:val="21"/>
              </w:rPr>
              <w:t>)</w:t>
            </w:r>
          </w:p>
        </w:tc>
      </w:tr>
      <w:tr w:rsidR="00F7037E" w14:paraId="2D7C7EEC" w14:textId="77777777">
        <w:trPr>
          <w:jc w:val="center"/>
        </w:trPr>
        <w:tc>
          <w:tcPr>
            <w:tcW w:w="864" w:type="pct"/>
            <w:tcBorders>
              <w:top w:val="single" w:sz="4" w:space="0" w:color="auto"/>
              <w:left w:val="nil"/>
              <w:bottom w:val="nil"/>
              <w:right w:val="nil"/>
              <w:tl2br w:val="nil"/>
              <w:tr2bl w:val="nil"/>
            </w:tcBorders>
            <w:shd w:val="clear" w:color="auto" w:fill="FFFFFF"/>
            <w:vAlign w:val="center"/>
          </w:tcPr>
          <w:p w14:paraId="1194BD75" w14:textId="77777777" w:rsidR="00F7037E" w:rsidRDefault="00000000">
            <w:pPr>
              <w:widowControl/>
              <w:spacing w:line="360" w:lineRule="auto"/>
              <w:jc w:val="left"/>
              <w:rPr>
                <w:rFonts w:ascii="Times New Roman" w:eastAsia="宋体" w:hAnsi="Times New Roman" w:cs="Times New Roman"/>
                <w:color w:val="000000"/>
                <w:szCs w:val="21"/>
              </w:rPr>
            </w:pPr>
            <w:r>
              <w:rPr>
                <w:rFonts w:ascii="Times New Roman" w:eastAsia="宋体" w:hAnsi="Times New Roman" w:cs="Times New Roman" w:hint="eastAsia"/>
                <w:i/>
                <w:iCs/>
                <w:color w:val="000000"/>
                <w:szCs w:val="21"/>
              </w:rPr>
              <w:t>DID</w:t>
            </w:r>
          </w:p>
        </w:tc>
        <w:tc>
          <w:tcPr>
            <w:tcW w:w="700" w:type="pct"/>
            <w:tcBorders>
              <w:top w:val="single" w:sz="4" w:space="0" w:color="auto"/>
              <w:left w:val="nil"/>
              <w:bottom w:val="nil"/>
              <w:right w:val="nil"/>
              <w:tl2br w:val="nil"/>
              <w:tr2bl w:val="nil"/>
            </w:tcBorders>
            <w:shd w:val="clear" w:color="auto" w:fill="FFFFFF"/>
            <w:vAlign w:val="center"/>
          </w:tcPr>
          <w:p w14:paraId="1234F95D"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-0.089***</w:t>
            </w:r>
          </w:p>
        </w:tc>
        <w:tc>
          <w:tcPr>
            <w:tcW w:w="700" w:type="pct"/>
            <w:tcBorders>
              <w:top w:val="single" w:sz="4" w:space="0" w:color="auto"/>
              <w:left w:val="nil"/>
              <w:bottom w:val="nil"/>
              <w:right w:val="nil"/>
              <w:tl2br w:val="nil"/>
              <w:tr2bl w:val="nil"/>
            </w:tcBorders>
            <w:shd w:val="clear" w:color="auto" w:fill="FFFFFF"/>
            <w:vAlign w:val="center"/>
          </w:tcPr>
          <w:p w14:paraId="154F1FAF"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-0.079***</w:t>
            </w:r>
          </w:p>
        </w:tc>
        <w:tc>
          <w:tcPr>
            <w:tcW w:w="700" w:type="pct"/>
            <w:tcBorders>
              <w:top w:val="single" w:sz="4" w:space="0" w:color="auto"/>
              <w:left w:val="nil"/>
              <w:bottom w:val="nil"/>
              <w:right w:val="nil"/>
              <w:tl2br w:val="nil"/>
              <w:tr2bl w:val="nil"/>
            </w:tcBorders>
            <w:shd w:val="clear" w:color="auto" w:fill="FFFFFF"/>
            <w:vAlign w:val="center"/>
          </w:tcPr>
          <w:p w14:paraId="177F2736"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-0.075***</w:t>
            </w:r>
          </w:p>
        </w:tc>
        <w:tc>
          <w:tcPr>
            <w:tcW w:w="631" w:type="pct"/>
            <w:tcBorders>
              <w:top w:val="single" w:sz="4" w:space="0" w:color="auto"/>
              <w:left w:val="nil"/>
              <w:bottom w:val="nil"/>
              <w:right w:val="nil"/>
              <w:tl2br w:val="nil"/>
              <w:tr2bl w:val="nil"/>
            </w:tcBorders>
            <w:shd w:val="clear" w:color="auto" w:fill="FFFFFF"/>
            <w:vAlign w:val="center"/>
          </w:tcPr>
          <w:p w14:paraId="041003A9"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-0.034**</w:t>
            </w:r>
          </w:p>
        </w:tc>
        <w:tc>
          <w:tcPr>
            <w:tcW w:w="700" w:type="pct"/>
            <w:tcBorders>
              <w:top w:val="single" w:sz="4" w:space="0" w:color="auto"/>
              <w:left w:val="nil"/>
              <w:bottom w:val="nil"/>
              <w:right w:val="nil"/>
              <w:tl2br w:val="nil"/>
              <w:tr2bl w:val="nil"/>
            </w:tcBorders>
            <w:shd w:val="clear" w:color="auto" w:fill="FFFFFF"/>
            <w:vAlign w:val="center"/>
          </w:tcPr>
          <w:p w14:paraId="756910FB"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-0.050***</w:t>
            </w:r>
          </w:p>
        </w:tc>
        <w:tc>
          <w:tcPr>
            <w:tcW w:w="701" w:type="pct"/>
            <w:tcBorders>
              <w:top w:val="single" w:sz="4" w:space="0" w:color="auto"/>
              <w:left w:val="nil"/>
              <w:bottom w:val="nil"/>
              <w:right w:val="nil"/>
              <w:tl2br w:val="nil"/>
              <w:tr2bl w:val="nil"/>
            </w:tcBorders>
            <w:shd w:val="clear" w:color="auto" w:fill="FFFFFF"/>
            <w:vAlign w:val="center"/>
          </w:tcPr>
          <w:p w14:paraId="5ABD5BED"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-0.069***</w:t>
            </w:r>
          </w:p>
        </w:tc>
      </w:tr>
      <w:tr w:rsidR="00F7037E" w14:paraId="4BBD36D7" w14:textId="77777777">
        <w:trPr>
          <w:jc w:val="center"/>
        </w:trPr>
        <w:tc>
          <w:tcPr>
            <w:tcW w:w="864" w:type="pct"/>
            <w:tcBorders>
              <w:top w:val="nil"/>
              <w:left w:val="nil"/>
              <w:bottom w:val="nil"/>
              <w:right w:val="nil"/>
              <w:tl2br w:val="nil"/>
              <w:tr2bl w:val="nil"/>
            </w:tcBorders>
            <w:shd w:val="clear" w:color="auto" w:fill="FFFFFF"/>
            <w:vAlign w:val="center"/>
          </w:tcPr>
          <w:p w14:paraId="1C1DE5D3" w14:textId="77777777" w:rsidR="00F7037E" w:rsidRDefault="00F7037E">
            <w:pPr>
              <w:widowControl/>
              <w:spacing w:line="360" w:lineRule="auto"/>
              <w:jc w:val="left"/>
              <w:rPr>
                <w:rFonts w:ascii="Times New Roman" w:eastAsia="宋体" w:hAnsi="Times New Roman" w:cs="Times New Roman"/>
                <w:color w:val="000000"/>
                <w:szCs w:val="21"/>
              </w:rPr>
            </w:pPr>
          </w:p>
        </w:tc>
        <w:tc>
          <w:tcPr>
            <w:tcW w:w="700" w:type="pct"/>
            <w:tcBorders>
              <w:top w:val="nil"/>
              <w:left w:val="nil"/>
              <w:bottom w:val="nil"/>
              <w:right w:val="nil"/>
              <w:tl2br w:val="nil"/>
              <w:tr2bl w:val="nil"/>
            </w:tcBorders>
            <w:shd w:val="clear" w:color="auto" w:fill="FFFFFF"/>
            <w:vAlign w:val="center"/>
          </w:tcPr>
          <w:p w14:paraId="42068B12"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(0.021)</w:t>
            </w:r>
          </w:p>
        </w:tc>
        <w:tc>
          <w:tcPr>
            <w:tcW w:w="700" w:type="pct"/>
            <w:tcBorders>
              <w:top w:val="nil"/>
              <w:left w:val="nil"/>
              <w:bottom w:val="nil"/>
              <w:right w:val="nil"/>
              <w:tl2br w:val="nil"/>
              <w:tr2bl w:val="nil"/>
            </w:tcBorders>
            <w:shd w:val="clear" w:color="auto" w:fill="FFFFFF"/>
            <w:vAlign w:val="center"/>
          </w:tcPr>
          <w:p w14:paraId="10120CF4"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(0.020)</w:t>
            </w:r>
          </w:p>
        </w:tc>
        <w:tc>
          <w:tcPr>
            <w:tcW w:w="700" w:type="pct"/>
            <w:tcBorders>
              <w:top w:val="nil"/>
              <w:left w:val="nil"/>
              <w:bottom w:val="nil"/>
              <w:right w:val="nil"/>
              <w:tl2br w:val="nil"/>
              <w:tr2bl w:val="nil"/>
            </w:tcBorders>
            <w:shd w:val="clear" w:color="auto" w:fill="FFFFFF"/>
            <w:vAlign w:val="center"/>
          </w:tcPr>
          <w:p w14:paraId="1F87B732"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(0.019)</w:t>
            </w:r>
          </w:p>
        </w:tc>
        <w:tc>
          <w:tcPr>
            <w:tcW w:w="631" w:type="pct"/>
            <w:tcBorders>
              <w:top w:val="nil"/>
              <w:left w:val="nil"/>
              <w:bottom w:val="nil"/>
              <w:right w:val="nil"/>
              <w:tl2br w:val="nil"/>
              <w:tr2bl w:val="nil"/>
            </w:tcBorders>
            <w:shd w:val="clear" w:color="auto" w:fill="FFFFFF"/>
            <w:vAlign w:val="center"/>
          </w:tcPr>
          <w:p w14:paraId="348BC8BD"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(0.016)</w:t>
            </w:r>
          </w:p>
        </w:tc>
        <w:tc>
          <w:tcPr>
            <w:tcW w:w="700" w:type="pct"/>
            <w:tcBorders>
              <w:top w:val="nil"/>
              <w:left w:val="nil"/>
              <w:bottom w:val="nil"/>
              <w:right w:val="nil"/>
              <w:tl2br w:val="nil"/>
              <w:tr2bl w:val="nil"/>
            </w:tcBorders>
            <w:shd w:val="clear" w:color="auto" w:fill="FFFFFF"/>
            <w:vAlign w:val="center"/>
          </w:tcPr>
          <w:p w14:paraId="71A0D0C0"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(0.017)</w:t>
            </w:r>
          </w:p>
        </w:tc>
        <w:tc>
          <w:tcPr>
            <w:tcW w:w="701" w:type="pct"/>
            <w:tcBorders>
              <w:top w:val="nil"/>
              <w:left w:val="nil"/>
              <w:bottom w:val="nil"/>
              <w:right w:val="nil"/>
              <w:tl2br w:val="nil"/>
              <w:tr2bl w:val="nil"/>
            </w:tcBorders>
            <w:shd w:val="clear" w:color="auto" w:fill="FFFFFF"/>
            <w:vAlign w:val="center"/>
          </w:tcPr>
          <w:p w14:paraId="41754AA3"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(0.018)</w:t>
            </w:r>
          </w:p>
        </w:tc>
      </w:tr>
      <w:tr w:rsidR="00F7037E" w14:paraId="2894E13C" w14:textId="77777777">
        <w:trPr>
          <w:jc w:val="center"/>
        </w:trPr>
        <w:tc>
          <w:tcPr>
            <w:tcW w:w="864" w:type="pct"/>
            <w:tcBorders>
              <w:top w:val="nil"/>
              <w:left w:val="nil"/>
              <w:bottom w:val="nil"/>
              <w:right w:val="nil"/>
              <w:tl2br w:val="nil"/>
              <w:tr2bl w:val="nil"/>
            </w:tcBorders>
            <w:shd w:val="clear" w:color="auto" w:fill="FFFFFF"/>
            <w:vAlign w:val="center"/>
          </w:tcPr>
          <w:p w14:paraId="34EDB7F6" w14:textId="77777777" w:rsidR="00F7037E" w:rsidRDefault="00000000">
            <w:pPr>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Observations</w:t>
            </w:r>
          </w:p>
        </w:tc>
        <w:tc>
          <w:tcPr>
            <w:tcW w:w="700" w:type="pct"/>
            <w:tcBorders>
              <w:top w:val="nil"/>
              <w:left w:val="nil"/>
              <w:bottom w:val="nil"/>
              <w:right w:val="nil"/>
              <w:tl2br w:val="nil"/>
              <w:tr2bl w:val="nil"/>
            </w:tcBorders>
            <w:shd w:val="clear" w:color="auto" w:fill="FFFFFF"/>
            <w:vAlign w:val="center"/>
          </w:tcPr>
          <w:p w14:paraId="1EB73AC0"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4537</w:t>
            </w:r>
          </w:p>
        </w:tc>
        <w:tc>
          <w:tcPr>
            <w:tcW w:w="700" w:type="pct"/>
            <w:tcBorders>
              <w:top w:val="nil"/>
              <w:left w:val="nil"/>
              <w:bottom w:val="nil"/>
              <w:right w:val="nil"/>
              <w:tl2br w:val="nil"/>
              <w:tr2bl w:val="nil"/>
            </w:tcBorders>
            <w:shd w:val="clear" w:color="auto" w:fill="FFFFFF"/>
            <w:vAlign w:val="center"/>
          </w:tcPr>
          <w:p w14:paraId="76559E2E"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4261</w:t>
            </w:r>
          </w:p>
        </w:tc>
        <w:tc>
          <w:tcPr>
            <w:tcW w:w="700" w:type="pct"/>
            <w:tcBorders>
              <w:top w:val="nil"/>
              <w:left w:val="nil"/>
              <w:bottom w:val="nil"/>
              <w:right w:val="nil"/>
              <w:tl2br w:val="nil"/>
              <w:tr2bl w:val="nil"/>
            </w:tcBorders>
            <w:shd w:val="clear" w:color="auto" w:fill="FFFFFF"/>
            <w:vAlign w:val="center"/>
          </w:tcPr>
          <w:p w14:paraId="4DA24106"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4261</w:t>
            </w:r>
          </w:p>
        </w:tc>
        <w:tc>
          <w:tcPr>
            <w:tcW w:w="631" w:type="pct"/>
            <w:tcBorders>
              <w:top w:val="nil"/>
              <w:left w:val="nil"/>
              <w:bottom w:val="nil"/>
              <w:right w:val="nil"/>
              <w:tl2br w:val="nil"/>
              <w:tr2bl w:val="nil"/>
            </w:tcBorders>
            <w:shd w:val="clear" w:color="auto" w:fill="FFFFFF"/>
            <w:vAlign w:val="center"/>
          </w:tcPr>
          <w:p w14:paraId="64A555D3"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2409</w:t>
            </w:r>
          </w:p>
        </w:tc>
        <w:tc>
          <w:tcPr>
            <w:tcW w:w="700" w:type="pct"/>
            <w:tcBorders>
              <w:top w:val="nil"/>
              <w:left w:val="nil"/>
              <w:bottom w:val="nil"/>
              <w:right w:val="nil"/>
              <w:tl2br w:val="nil"/>
              <w:tr2bl w:val="nil"/>
            </w:tcBorders>
            <w:shd w:val="clear" w:color="auto" w:fill="FFFFFF"/>
            <w:vAlign w:val="center"/>
          </w:tcPr>
          <w:p w14:paraId="35DA66E8"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2951</w:t>
            </w:r>
          </w:p>
        </w:tc>
        <w:tc>
          <w:tcPr>
            <w:tcW w:w="701" w:type="pct"/>
            <w:tcBorders>
              <w:top w:val="nil"/>
              <w:left w:val="nil"/>
              <w:bottom w:val="nil"/>
              <w:right w:val="nil"/>
              <w:tl2br w:val="nil"/>
              <w:tr2bl w:val="nil"/>
            </w:tcBorders>
            <w:shd w:val="clear" w:color="auto" w:fill="FFFFFF"/>
            <w:vAlign w:val="center"/>
          </w:tcPr>
          <w:p w14:paraId="16AA914C"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3503</w:t>
            </w:r>
          </w:p>
        </w:tc>
      </w:tr>
      <w:tr w:rsidR="00F7037E" w14:paraId="64A85B80" w14:textId="77777777">
        <w:trPr>
          <w:jc w:val="center"/>
        </w:trPr>
        <w:tc>
          <w:tcPr>
            <w:tcW w:w="864" w:type="pct"/>
            <w:tcBorders>
              <w:top w:val="nil"/>
              <w:left w:val="nil"/>
              <w:bottom w:val="single" w:sz="12" w:space="0" w:color="000000"/>
              <w:right w:val="nil"/>
              <w:tl2br w:val="nil"/>
              <w:tr2bl w:val="nil"/>
            </w:tcBorders>
            <w:shd w:val="clear" w:color="auto" w:fill="FFFFFF"/>
            <w:vAlign w:val="center"/>
          </w:tcPr>
          <w:p w14:paraId="72917F5A" w14:textId="77777777" w:rsidR="00F7037E" w:rsidRDefault="00000000">
            <w:pPr>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Adjusted R²</w:t>
            </w:r>
          </w:p>
        </w:tc>
        <w:tc>
          <w:tcPr>
            <w:tcW w:w="700" w:type="pct"/>
            <w:tcBorders>
              <w:top w:val="nil"/>
              <w:left w:val="nil"/>
              <w:bottom w:val="single" w:sz="12" w:space="0" w:color="000000"/>
              <w:right w:val="nil"/>
              <w:tl2br w:val="nil"/>
              <w:tr2bl w:val="nil"/>
            </w:tcBorders>
            <w:shd w:val="clear" w:color="auto" w:fill="FFFFFF"/>
            <w:vAlign w:val="center"/>
          </w:tcPr>
          <w:p w14:paraId="52CFA79D"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0.594</w:t>
            </w:r>
          </w:p>
        </w:tc>
        <w:tc>
          <w:tcPr>
            <w:tcW w:w="700" w:type="pct"/>
            <w:tcBorders>
              <w:top w:val="nil"/>
              <w:left w:val="nil"/>
              <w:bottom w:val="single" w:sz="12" w:space="0" w:color="000000"/>
              <w:right w:val="nil"/>
              <w:tl2br w:val="nil"/>
              <w:tr2bl w:val="nil"/>
            </w:tcBorders>
            <w:shd w:val="clear" w:color="auto" w:fill="FFFFFF"/>
            <w:vAlign w:val="center"/>
          </w:tcPr>
          <w:p w14:paraId="035E1F0F"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0.983</w:t>
            </w:r>
          </w:p>
        </w:tc>
        <w:tc>
          <w:tcPr>
            <w:tcW w:w="700" w:type="pct"/>
            <w:tcBorders>
              <w:top w:val="nil"/>
              <w:left w:val="nil"/>
              <w:bottom w:val="single" w:sz="12" w:space="0" w:color="000000"/>
              <w:right w:val="nil"/>
              <w:tl2br w:val="nil"/>
              <w:tr2bl w:val="nil"/>
            </w:tcBorders>
            <w:shd w:val="clear" w:color="auto" w:fill="FFFFFF"/>
            <w:vAlign w:val="center"/>
          </w:tcPr>
          <w:p w14:paraId="4CDA40F0"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0.983</w:t>
            </w:r>
          </w:p>
        </w:tc>
        <w:tc>
          <w:tcPr>
            <w:tcW w:w="631" w:type="pct"/>
            <w:tcBorders>
              <w:top w:val="nil"/>
              <w:left w:val="nil"/>
              <w:bottom w:val="single" w:sz="12" w:space="0" w:color="000000"/>
              <w:right w:val="nil"/>
              <w:tl2br w:val="nil"/>
              <w:tr2bl w:val="nil"/>
            </w:tcBorders>
            <w:shd w:val="clear" w:color="auto" w:fill="FFFFFF"/>
            <w:vAlign w:val="center"/>
          </w:tcPr>
          <w:p w14:paraId="6BFA23C2"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0.991</w:t>
            </w:r>
          </w:p>
        </w:tc>
        <w:tc>
          <w:tcPr>
            <w:tcW w:w="700" w:type="pct"/>
            <w:tcBorders>
              <w:top w:val="nil"/>
              <w:left w:val="nil"/>
              <w:bottom w:val="single" w:sz="12" w:space="0" w:color="000000"/>
              <w:right w:val="nil"/>
              <w:tl2br w:val="nil"/>
              <w:tr2bl w:val="nil"/>
            </w:tcBorders>
            <w:shd w:val="clear" w:color="auto" w:fill="FFFFFF"/>
            <w:vAlign w:val="center"/>
          </w:tcPr>
          <w:p w14:paraId="763AAAE1"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0.989</w:t>
            </w:r>
          </w:p>
        </w:tc>
        <w:tc>
          <w:tcPr>
            <w:tcW w:w="701" w:type="pct"/>
            <w:tcBorders>
              <w:top w:val="nil"/>
              <w:left w:val="nil"/>
              <w:bottom w:val="single" w:sz="12" w:space="0" w:color="000000"/>
              <w:right w:val="nil"/>
              <w:tl2br w:val="nil"/>
              <w:tr2bl w:val="nil"/>
            </w:tcBorders>
            <w:shd w:val="clear" w:color="auto" w:fill="FFFFFF"/>
            <w:vAlign w:val="center"/>
          </w:tcPr>
          <w:p w14:paraId="43BA7F09" w14:textId="77777777" w:rsidR="00F7037E" w:rsidRDefault="00000000">
            <w:pPr>
              <w:widowControl/>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0.987</w:t>
            </w:r>
          </w:p>
        </w:tc>
      </w:tr>
    </w:tbl>
    <w:p w14:paraId="29CB3889" w14:textId="28788A25" w:rsidR="00F7037E" w:rsidRPr="00DC026A" w:rsidRDefault="00DC026A" w:rsidP="00DC026A">
      <w:pPr>
        <w:rPr>
          <w:rFonts w:ascii="Times New Roman" w:hAnsi="Times New Roman" w:cs="Times New Roman"/>
        </w:rPr>
      </w:pPr>
      <w:r w:rsidRPr="00DC026A">
        <w:rPr>
          <w:rFonts w:ascii="Times New Roman" w:hAnsi="Times New Roman" w:cs="Times New Roman"/>
        </w:rPr>
        <w:t>Notes: Column (1) includes both linear and nonlinear time trends to account for unobserved temporal dynamics. The coefficient associated with the policy variable persists in being statistically negative, demonstrating that the estimated effect is not attributable to long-term trends. In columns (2) and (3), we introduce one-period lags of the dependent variable and control variables, respectively, to capture potential persistence in emissions and delayed policy responses. The policy effect remains statistically significant and negative, suggesting robustness to intertemporal dynamics and autocorrelation. To investigate the sensitivity concerning the selection of the temporal window, we re-estimate Eq. (1) using balanced panels centered around the policy implementation year, with symmetric windows of ±4, ±5, and ±6 years. The estimated results are shown in columns (4) to (6), the statistically and significantly negative coefficients indicate that with the extension of the time window, the emission mitigation potential of the STIDPP becomes greater.</w:t>
      </w:r>
    </w:p>
    <w:p w14:paraId="2EAF8197" w14:textId="77777777" w:rsidR="00DC026A" w:rsidRDefault="00DC026A">
      <w:pPr>
        <w:sectPr w:rsidR="00DC026A">
          <w:pgSz w:w="11906" w:h="16838"/>
          <w:pgMar w:top="1440" w:right="1800" w:bottom="1440" w:left="1800" w:header="851" w:footer="992" w:gutter="0"/>
          <w:cols w:space="0"/>
          <w:docGrid w:linePitch="312"/>
        </w:sectPr>
      </w:pPr>
    </w:p>
    <w:p w14:paraId="074758C0" w14:textId="77777777" w:rsidR="00F7037E" w:rsidRDefault="00000000" w:rsidP="00DC026A">
      <w:pPr>
        <w:pStyle w:val="3"/>
        <w:widowControl/>
        <w:shd w:val="clear" w:color="auto" w:fill="FFFFFF"/>
        <w:spacing w:beforeAutospacing="0" w:afterAutospacing="0" w:line="360" w:lineRule="auto"/>
        <w:jc w:val="both"/>
        <w:rPr>
          <w:rFonts w:ascii="Times New Roman" w:eastAsiaTheme="minorEastAsia" w:hAnsi="Times New Roman" w:hint="default"/>
          <w:kern w:val="2"/>
          <w:sz w:val="24"/>
          <w:szCs w:val="24"/>
        </w:rPr>
      </w:pPr>
      <w:r>
        <w:rPr>
          <w:rFonts w:ascii="Times New Roman" w:eastAsiaTheme="minorEastAsia" w:hAnsi="Times New Roman"/>
          <w:kern w:val="2"/>
          <w:sz w:val="24"/>
          <w:szCs w:val="24"/>
        </w:rPr>
        <w:lastRenderedPageBreak/>
        <w:t>References</w:t>
      </w:r>
    </w:p>
    <w:p w14:paraId="2C3B0E31" w14:textId="5F98497F" w:rsidR="00F7037E" w:rsidRPr="00DC026A" w:rsidRDefault="00000000" w:rsidP="00DC026A">
      <w:pPr>
        <w:spacing w:line="360" w:lineRule="auto"/>
        <w:ind w:left="480" w:hangingChars="200" w:hanging="480"/>
        <w:rPr>
          <w:rFonts w:ascii="Times New Roman" w:hAnsi="Times New Roman" w:cs="Times New Roman"/>
          <w:sz w:val="24"/>
        </w:rPr>
      </w:pPr>
      <w:r>
        <w:rPr>
          <w:rFonts w:ascii="Times New Roman" w:hAnsi="Times New Roman" w:cs="Times New Roman"/>
          <w:sz w:val="24"/>
        </w:rPr>
        <w:t>Goodman-Bacon, A. (2021). Difference-in-differences with variation in treatment timing. Journal of Econometrics, 225(2), 254–277.</w:t>
      </w:r>
    </w:p>
    <w:sectPr w:rsidR="00F7037E" w:rsidRPr="00DC026A">
      <w:pgSz w:w="11906" w:h="16838"/>
      <w:pgMar w:top="1440" w:right="1800" w:bottom="1440" w:left="1800" w:header="851" w:footer="992" w:gutter="0"/>
      <w:cols w:space="0"/>
      <w:docGrid w:linePitch="312"/>
    </w:sectPr>
  </w:body>
</w:document>
</file>

<file path=word/customizations.xml><?xml version="1.0" encoding="utf-8"?>
<wne:tcg xmlns:r="http://schemas.openxmlformats.org/officeDocument/2006/relationships" xmlns:wne="http://schemas.microsoft.com/office/word/2006/wordml">
  <wne:keymaps>
    <wne:keymap wne:kcmPrimary="0445">
      <wne:macro wne:macroName="MATHTYPECOMMANDS.UILIB.MTCOMMAND_EDITEQUATIONINPLACE"/>
    </wne:keymap>
    <wne:keymap wne:kcmPrimary="044F">
      <wne:macro wne:macroName="MATHTYPECOMMANDS.UILIB.MTCOMMAND_EDITEQUATIONOPEN"/>
    </wne:keymap>
    <wne:keymap wne:kcmPrimary="0451">
      <wne:macro wne:macroName="MATHTYPECOMMANDS.UILIB.MTCOMMAND_INSERTDISPEQN"/>
    </wne:keymap>
    <wne:keymap wne:kcmPrimary="04DC">
      <wne:macro wne:macroName="MATHTYPECOMMANDS.UILIB.MTCOMMAND_TEXTOGGLE"/>
    </wne:keymap>
    <wne:keymap wne:kcmPrimary="0551">
      <wne:macro wne:macroName="MATHTYPECOMMANDS.UILIB.MTCOMMAND_INSERTRIGHTNUMBEREDDISPEQN"/>
    </wne:keymap>
    <wne:keymap wne:kcmPrimary="0651">
      <wne:macro wne:macroName="MATHTYPECOMMANDS.UILIB.MTCOMMAND_INSERTINLINEEQN"/>
    </wne:keymap>
    <wne:keymap wne:kcmPrimary="0751">
      <wne:macro wne:macroName="MATHTYPECOMMANDS.UILIB.MTCOMMAND_INSERTLEFTNUMBEREDDISPEQN"/>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10A1A" w14:textId="77777777" w:rsidR="0039536E" w:rsidRDefault="0039536E" w:rsidP="00DC026A">
      <w:r>
        <w:separator/>
      </w:r>
    </w:p>
  </w:endnote>
  <w:endnote w:type="continuationSeparator" w:id="0">
    <w:p w14:paraId="42F5E480" w14:textId="77777777" w:rsidR="0039536E" w:rsidRDefault="0039536E" w:rsidP="00DC0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49B34" w14:textId="77777777" w:rsidR="0039536E" w:rsidRDefault="0039536E" w:rsidP="00DC026A">
      <w:r>
        <w:separator/>
      </w:r>
    </w:p>
  </w:footnote>
  <w:footnote w:type="continuationSeparator" w:id="0">
    <w:p w14:paraId="39B3BC26" w14:textId="77777777" w:rsidR="0039536E" w:rsidRDefault="0039536E" w:rsidP="00DC02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cxNzYyNTAzN7e0MDdU0lEKTi0uzszPAykwrAUAllHA6iwAAAA="/>
  </w:docVars>
  <w:rsids>
    <w:rsidRoot w:val="00F7037E"/>
    <w:rsid w:val="0039536E"/>
    <w:rsid w:val="0047626B"/>
    <w:rsid w:val="00956390"/>
    <w:rsid w:val="00B9785C"/>
    <w:rsid w:val="00BF35CB"/>
    <w:rsid w:val="00CA284C"/>
    <w:rsid w:val="00D34385"/>
    <w:rsid w:val="00DC026A"/>
    <w:rsid w:val="00E31146"/>
    <w:rsid w:val="00F7037E"/>
    <w:rsid w:val="055F2BCB"/>
    <w:rsid w:val="05DD7EAC"/>
    <w:rsid w:val="06824DC3"/>
    <w:rsid w:val="09C36E0B"/>
    <w:rsid w:val="0B9C2CEA"/>
    <w:rsid w:val="0D97432A"/>
    <w:rsid w:val="0DB51CFA"/>
    <w:rsid w:val="122C2769"/>
    <w:rsid w:val="138F01F5"/>
    <w:rsid w:val="142740C3"/>
    <w:rsid w:val="146B2919"/>
    <w:rsid w:val="14DA5037"/>
    <w:rsid w:val="18160EB5"/>
    <w:rsid w:val="1A534C40"/>
    <w:rsid w:val="1AA06995"/>
    <w:rsid w:val="1E461A46"/>
    <w:rsid w:val="1F751014"/>
    <w:rsid w:val="20CB191E"/>
    <w:rsid w:val="21615125"/>
    <w:rsid w:val="21E53D3F"/>
    <w:rsid w:val="23CB1297"/>
    <w:rsid w:val="26484B7D"/>
    <w:rsid w:val="28DC4373"/>
    <w:rsid w:val="294D7958"/>
    <w:rsid w:val="2E5034E1"/>
    <w:rsid w:val="2FEA390D"/>
    <w:rsid w:val="31F639C9"/>
    <w:rsid w:val="33F97E63"/>
    <w:rsid w:val="359C0069"/>
    <w:rsid w:val="35B07837"/>
    <w:rsid w:val="365B462E"/>
    <w:rsid w:val="36915C1D"/>
    <w:rsid w:val="399B4981"/>
    <w:rsid w:val="39D0561F"/>
    <w:rsid w:val="3B597D0F"/>
    <w:rsid w:val="3DD97886"/>
    <w:rsid w:val="3EC149E9"/>
    <w:rsid w:val="3FD219F3"/>
    <w:rsid w:val="4047193D"/>
    <w:rsid w:val="40F64D19"/>
    <w:rsid w:val="410F6C32"/>
    <w:rsid w:val="415052BD"/>
    <w:rsid w:val="42F51792"/>
    <w:rsid w:val="436D4711"/>
    <w:rsid w:val="44FC536A"/>
    <w:rsid w:val="4791382C"/>
    <w:rsid w:val="479A5FE1"/>
    <w:rsid w:val="47BB276F"/>
    <w:rsid w:val="4A614406"/>
    <w:rsid w:val="4A8835F7"/>
    <w:rsid w:val="4A995804"/>
    <w:rsid w:val="4D8F6A66"/>
    <w:rsid w:val="4DA155CD"/>
    <w:rsid w:val="4DE75105"/>
    <w:rsid w:val="4E102281"/>
    <w:rsid w:val="4E4D1F7D"/>
    <w:rsid w:val="4E994025"/>
    <w:rsid w:val="53862362"/>
    <w:rsid w:val="53DD01CA"/>
    <w:rsid w:val="5551374B"/>
    <w:rsid w:val="55B96749"/>
    <w:rsid w:val="57651DAA"/>
    <w:rsid w:val="59B17920"/>
    <w:rsid w:val="5C481C97"/>
    <w:rsid w:val="5C4E5DF6"/>
    <w:rsid w:val="5CD16E8B"/>
    <w:rsid w:val="5EB31862"/>
    <w:rsid w:val="5F9F45C4"/>
    <w:rsid w:val="60327E35"/>
    <w:rsid w:val="61E94B73"/>
    <w:rsid w:val="62D93A21"/>
    <w:rsid w:val="64133B98"/>
    <w:rsid w:val="64564FAD"/>
    <w:rsid w:val="671A44F3"/>
    <w:rsid w:val="683C6AF0"/>
    <w:rsid w:val="685E0B70"/>
    <w:rsid w:val="6AA158EE"/>
    <w:rsid w:val="6DC91C10"/>
    <w:rsid w:val="6E962917"/>
    <w:rsid w:val="6EDA1ADE"/>
    <w:rsid w:val="70227168"/>
    <w:rsid w:val="70E41C98"/>
    <w:rsid w:val="73DA1278"/>
    <w:rsid w:val="74184CF3"/>
    <w:rsid w:val="77B104B1"/>
    <w:rsid w:val="79224DD2"/>
    <w:rsid w:val="795E6B13"/>
    <w:rsid w:val="798D4602"/>
    <w:rsid w:val="798D6C3D"/>
    <w:rsid w:val="7AD33910"/>
    <w:rsid w:val="7B366E66"/>
    <w:rsid w:val="7BDD1CD9"/>
    <w:rsid w:val="7CB64D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2E3D2D"/>
  <w15:docId w15:val="{8FA17881-7F5A-4036-A277-2BC7FCA5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31146"/>
    <w:pPr>
      <w:widowControl w:val="0"/>
      <w:jc w:val="both"/>
    </w:pPr>
    <w:rPr>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rPr>
  </w:style>
  <w:style w:type="paragraph" w:styleId="a4">
    <w:name w:val="header"/>
    <w:basedOn w:val="a"/>
    <w:link w:val="a5"/>
    <w:rsid w:val="00DC026A"/>
    <w:pPr>
      <w:tabs>
        <w:tab w:val="center" w:pos="4153"/>
        <w:tab w:val="right" w:pos="8306"/>
      </w:tabs>
      <w:snapToGrid w:val="0"/>
      <w:jc w:val="center"/>
    </w:pPr>
    <w:rPr>
      <w:sz w:val="18"/>
      <w:szCs w:val="18"/>
    </w:rPr>
  </w:style>
  <w:style w:type="character" w:customStyle="1" w:styleId="a5">
    <w:name w:val="页眉 字符"/>
    <w:basedOn w:val="a0"/>
    <w:link w:val="a4"/>
    <w:rsid w:val="00DC026A"/>
    <w:rPr>
      <w:kern w:val="2"/>
      <w:sz w:val="18"/>
      <w:szCs w:val="18"/>
    </w:rPr>
  </w:style>
  <w:style w:type="paragraph" w:styleId="a6">
    <w:name w:val="footer"/>
    <w:basedOn w:val="a"/>
    <w:link w:val="a7"/>
    <w:uiPriority w:val="99"/>
    <w:qFormat/>
    <w:rsid w:val="00DC026A"/>
    <w:pPr>
      <w:tabs>
        <w:tab w:val="center" w:pos="4153"/>
        <w:tab w:val="right" w:pos="8306"/>
      </w:tabs>
      <w:snapToGrid w:val="0"/>
      <w:jc w:val="left"/>
    </w:pPr>
    <w:rPr>
      <w:sz w:val="18"/>
      <w:szCs w:val="18"/>
    </w:rPr>
  </w:style>
  <w:style w:type="character" w:customStyle="1" w:styleId="a7">
    <w:name w:val="页脚 字符"/>
    <w:basedOn w:val="a0"/>
    <w:link w:val="a6"/>
    <w:uiPriority w:val="99"/>
    <w:rsid w:val="00DC026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747</Words>
  <Characters>4714</Characters>
  <Application>Microsoft Office Word</Application>
  <DocSecurity>0</DocSecurity>
  <Lines>147</Lines>
  <Paragraphs>94</Paragraphs>
  <ScaleCrop>false</ScaleCrop>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YU Yantuan</cp:lastModifiedBy>
  <cp:revision>4</cp:revision>
  <dcterms:created xsi:type="dcterms:W3CDTF">2025-05-20T11:39:00Z</dcterms:created>
  <dcterms:modified xsi:type="dcterms:W3CDTF">2025-11-14T15:12:00Z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3459ADABE97F43839A249CFA447B60A2_12</vt:lpwstr>
  </property>
  <property fmtid="{D5CDD505-2E9C-101B-9397-08002B2CF9AE}" pid="4" name="KSOTemplateDocerSaveRecord">
    <vt:lpwstr>eyJoZGlkIjoiYzQxMTEzMmJkNmRhM2ViNzU0M2E3NWE0MTg5NTRlNTQiLCJ1c2VySWQiOiI0NDQ3Njg4ODAifQ==</vt:lpwstr>
  </property>
</Properties>
</file>