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70" w:rsidRPr="0094249F" w:rsidRDefault="00B50E1F" w:rsidP="008A5E23">
      <w:pPr>
        <w:spacing w:after="0" w:line="240" w:lineRule="auto"/>
        <w:rPr>
          <w:bCs/>
          <w:lang w:val="en-US"/>
        </w:rPr>
      </w:pPr>
      <w:r>
        <w:rPr>
          <w:bCs/>
          <w:lang w:val="en-US"/>
        </w:rPr>
        <w:t>Additional File</w:t>
      </w:r>
      <w:r w:rsidR="0094249F">
        <w:rPr>
          <w:bCs/>
          <w:lang w:val="en-US"/>
        </w:rPr>
        <w:t xml:space="preserve"> </w:t>
      </w:r>
      <w:r w:rsidR="007F1DED">
        <w:rPr>
          <w:bCs/>
          <w:lang w:val="en-US"/>
        </w:rPr>
        <w:t>5</w:t>
      </w:r>
      <w:r w:rsidR="00606900">
        <w:rPr>
          <w:bCs/>
          <w:lang w:val="en-US"/>
        </w:rPr>
        <w:t>:</w:t>
      </w:r>
      <w:r w:rsidR="0094249F">
        <w:rPr>
          <w:bCs/>
          <w:lang w:val="en-US"/>
        </w:rPr>
        <w:t xml:space="preserve"> Clinical phenotype of patients with the three most common mutations</w:t>
      </w:r>
      <w:r w:rsidR="00606900">
        <w:rPr>
          <w:bCs/>
          <w:lang w:val="en-US"/>
        </w:rPr>
        <w:t>,</w:t>
      </w:r>
      <w:r w:rsidR="0094249F">
        <w:rPr>
          <w:bCs/>
          <w:lang w:val="en-US"/>
        </w:rPr>
        <w:t xml:space="preserve"> and of patients without</w:t>
      </w:r>
      <w:r w:rsidR="00606900">
        <w:rPr>
          <w:bCs/>
          <w:lang w:val="en-US"/>
        </w:rPr>
        <w:t>,</w:t>
      </w:r>
      <w:r w:rsidR="0094249F">
        <w:rPr>
          <w:bCs/>
          <w:lang w:val="en-US"/>
        </w:rPr>
        <w:t xml:space="preserve"> and with mutations</w:t>
      </w:r>
      <w:r w:rsidR="00606900">
        <w:rPr>
          <w:bCs/>
          <w:lang w:val="en-US"/>
        </w:rPr>
        <w:t>,</w:t>
      </w:r>
      <w:r w:rsidR="0094249F">
        <w:rPr>
          <w:bCs/>
          <w:lang w:val="en-US"/>
        </w:rPr>
        <w:t xml:space="preserve"> in the </w:t>
      </w:r>
      <w:r w:rsidR="0094249F">
        <w:rPr>
          <w:bCs/>
          <w:i/>
          <w:lang w:val="en-US"/>
        </w:rPr>
        <w:t xml:space="preserve">ATP1A3 </w:t>
      </w:r>
      <w:r w:rsidR="0094249F">
        <w:rPr>
          <w:bCs/>
          <w:lang w:val="en-US"/>
        </w:rPr>
        <w:t>gene.</w:t>
      </w:r>
    </w:p>
    <w:p w:rsidR="0094249F" w:rsidRDefault="0094249F" w:rsidP="008A5E23">
      <w:pPr>
        <w:spacing w:after="0" w:line="240" w:lineRule="auto"/>
        <w:rPr>
          <w:bCs/>
          <w:lang w:val="en-US"/>
        </w:rPr>
      </w:pP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070"/>
        <w:gridCol w:w="1842"/>
        <w:gridCol w:w="1843"/>
        <w:gridCol w:w="1746"/>
        <w:gridCol w:w="1811"/>
        <w:gridCol w:w="1908"/>
      </w:tblGrid>
      <w:tr w:rsidR="0094249F" w:rsidRPr="00847057" w:rsidTr="00C3047F">
        <w:tc>
          <w:tcPr>
            <w:tcW w:w="5070" w:type="dxa"/>
            <w:shd w:val="clear" w:color="auto" w:fill="BFBFBF" w:themeFill="background1" w:themeFillShade="BF"/>
          </w:tcPr>
          <w:p w:rsidR="0094249F" w:rsidRPr="00E24250" w:rsidRDefault="0094249F" w:rsidP="00446BD7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24250">
              <w:rPr>
                <w:rFonts w:ascii="Times New Roman" w:hAnsi="Times New Roman"/>
                <w:b/>
                <w:sz w:val="24"/>
                <w:szCs w:val="24"/>
              </w:rPr>
              <w:t>Clinical</w:t>
            </w:r>
            <w:proofErr w:type="spellEnd"/>
            <w:r w:rsidRPr="00E242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4250">
              <w:rPr>
                <w:rFonts w:ascii="Times New Roman" w:hAnsi="Times New Roman"/>
                <w:b/>
                <w:sz w:val="24"/>
                <w:szCs w:val="24"/>
              </w:rPr>
              <w:t>phenotype</w:t>
            </w:r>
            <w:proofErr w:type="spellEnd"/>
          </w:p>
        </w:tc>
        <w:tc>
          <w:tcPr>
            <w:tcW w:w="1842" w:type="dxa"/>
            <w:shd w:val="clear" w:color="auto" w:fill="BFBFBF" w:themeFill="background1" w:themeFillShade="BF"/>
          </w:tcPr>
          <w:p w:rsidR="0094249F" w:rsidRPr="00847057" w:rsidRDefault="007F1DED" w:rsidP="00446BD7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F1DED">
              <w:rPr>
                <w:rFonts w:ascii="Times New Roman" w:hAnsi="Times New Roman"/>
                <w:b/>
                <w:bCs/>
                <w:sz w:val="20"/>
                <w:szCs w:val="20"/>
              </w:rPr>
              <w:t>p.Glu815Lys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94249F" w:rsidRPr="00847057" w:rsidRDefault="007F1DED" w:rsidP="00446BD7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F1DED">
              <w:rPr>
                <w:rFonts w:ascii="Times New Roman" w:hAnsi="Times New Roman"/>
                <w:b/>
                <w:bCs/>
                <w:sz w:val="20"/>
                <w:szCs w:val="20"/>
              </w:rPr>
              <w:t>p.Asp801Asn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:rsidR="0094249F" w:rsidRPr="00847057" w:rsidRDefault="007F1DED" w:rsidP="00446BD7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F1DED">
              <w:rPr>
                <w:rFonts w:ascii="Times New Roman" w:hAnsi="Times New Roman"/>
                <w:b/>
                <w:bCs/>
                <w:sz w:val="20"/>
                <w:szCs w:val="20"/>
              </w:rPr>
              <w:t>p.Gly947Arg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7057">
              <w:rPr>
                <w:rFonts w:ascii="Times New Roman" w:hAnsi="Times New Roman"/>
                <w:b/>
                <w:i/>
                <w:sz w:val="20"/>
                <w:szCs w:val="20"/>
              </w:rPr>
              <w:t>ATP1A3</w:t>
            </w:r>
            <w:r w:rsidRPr="0084705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47057">
              <w:rPr>
                <w:rFonts w:ascii="Times New Roman" w:hAnsi="Times New Roman"/>
                <w:b/>
                <w:sz w:val="20"/>
                <w:szCs w:val="20"/>
              </w:rPr>
              <w:t>negative</w:t>
            </w:r>
            <w:proofErr w:type="spellEnd"/>
          </w:p>
        </w:tc>
        <w:tc>
          <w:tcPr>
            <w:tcW w:w="0" w:type="auto"/>
            <w:shd w:val="clear" w:color="auto" w:fill="BFBFBF" w:themeFill="background1" w:themeFillShade="BF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47057">
              <w:rPr>
                <w:rFonts w:ascii="Times New Roman" w:hAnsi="Times New Roman"/>
                <w:b/>
                <w:i/>
                <w:sz w:val="20"/>
                <w:szCs w:val="20"/>
              </w:rPr>
              <w:t>ATP1A3</w:t>
            </w:r>
            <w:r w:rsidRPr="00847057">
              <w:rPr>
                <w:rFonts w:ascii="Times New Roman" w:hAnsi="Times New Roman"/>
                <w:b/>
                <w:sz w:val="20"/>
                <w:szCs w:val="20"/>
              </w:rPr>
              <w:t xml:space="preserve"> positive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Number of patients percentage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16%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(22/132 mut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ated patients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43%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(57/132 mut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ated patients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11%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(15/132 mut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ated patients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15%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(23/155 total p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atients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85%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(132/155 total p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atients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94249F" w:rsidRPr="00847057" w:rsidTr="00C3047F">
        <w:tc>
          <w:tcPr>
            <w:tcW w:w="0" w:type="auto"/>
            <w:gridSpan w:val="6"/>
            <w:shd w:val="clear" w:color="auto" w:fill="BFBFBF" w:themeFill="background1" w:themeFillShade="BF"/>
          </w:tcPr>
          <w:p w:rsidR="0094249F" w:rsidRPr="00847057" w:rsidRDefault="0094249F" w:rsidP="00446BD7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AGE AT ONSET</w:t>
            </w:r>
          </w:p>
        </w:tc>
      </w:tr>
      <w:tr w:rsidR="0094249F" w:rsidRPr="00CD08BF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Age of first paroxysmal episode in months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(median-mean) </w:t>
            </w: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Fig. 2</w:t>
            </w:r>
            <w:bookmarkStart w:id="0" w:name="_GoBack"/>
            <w:bookmarkEnd w:id="0"/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(min-max)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n=21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 – 1.9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 – 9 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n=56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– 2.7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 – 9 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– 3.4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– 10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n=23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– 5.8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 – 24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n=128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– 3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 – 21 </w:t>
            </w:r>
          </w:p>
        </w:tc>
      </w:tr>
      <w:tr w:rsidR="0094249F" w:rsidRPr="00CD08BF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Age of first hemiplegic episode in months 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(median-mean) </w:t>
            </w: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(Fig. 2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(min-max)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n=21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6 - 5.8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– 10 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n=53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 – 7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0 - 18 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6 - 8.2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– 29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n=23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12 – 11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 – 24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n=123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 – 8.5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 – 72 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Type of first paroxysmal episode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Abnormal ocular movements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Hemiplegic or bilateral </w:t>
            </w:r>
            <w:proofErr w:type="spellStart"/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plegic</w:t>
            </w:r>
            <w:proofErr w:type="spellEnd"/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Tonic/Dystonic attacks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42%                       8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21%   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16%                       3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n=51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27%                     14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25%                     13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33%                     17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38%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30%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5%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26%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26%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n=119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34%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21%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25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23%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28</w:t>
            </w:r>
          </w:p>
        </w:tc>
      </w:tr>
      <w:tr w:rsidR="0094249F" w:rsidRPr="00CD08BF" w:rsidTr="00C3047F">
        <w:tc>
          <w:tcPr>
            <w:tcW w:w="0" w:type="auto"/>
            <w:gridSpan w:val="6"/>
            <w:shd w:val="clear" w:color="auto" w:fill="BFBFBF" w:themeFill="background1" w:themeFillShade="BF"/>
          </w:tcPr>
          <w:p w:rsidR="0094249F" w:rsidRPr="00847057" w:rsidRDefault="0094249F" w:rsidP="00446BD7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PAROXYSMAL EVENTS (OTHER THAN EPILEPSY)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Hemiplegic episodes (6-12 years)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100% (14/14)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94% (36/38)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91% (10/11)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94% (16/17)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95% (100/105)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Frequency hemiplegic episodes 6-12 y                   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                                                                                        NO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&lt;=1/year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Fig. 1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1-6/year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Monthly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Weekly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Daily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n=12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0%                     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25%                    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8%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50%                      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16%                      2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n=38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5%                   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5%                   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31%                     12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44%                    17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13%                      5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n=11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9%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27%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36%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27%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n=16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6%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6%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12%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25%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37%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12%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n=85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14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24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38%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33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10%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9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Length hemiplegic episodes 6-12 y                      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   NO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&lt;=1 hour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Fig. 1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 – 6 hours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6 – 12 hours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12 – 24 hours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&gt;=24 hours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21%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42%                       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7%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7%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21%                       3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n=37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5%                   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21%                       8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13%                       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11%   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11%   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38%                     14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9%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27%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9%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9%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45%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6%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31%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18%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6%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6%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n=86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4%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26%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21%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18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7%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10%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30%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26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Dystonic episodes (6-12 years)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71% (10/14)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74% (26/35)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82% (9/11)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70% (12/17)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77% (66/85)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Frequency dystonic episodes 6-12 y                        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         NO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&lt;=1/year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Fig. 1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1-6/year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Monthly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Weekly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Daily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n=13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31%   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15%                 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7%  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7%  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23%                    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15%                       2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n=31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29%                       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3%  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6%                   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19%                       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29%                       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13%                       4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n=11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18%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36%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27%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9%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n=16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31%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6%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12%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12%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25%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12%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n=77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16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28%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22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11%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9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Length dystonic episodes 6-12 y                           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  NO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  &lt;=1 hour</w:t>
            </w:r>
          </w:p>
          <w:p w:rsidR="0094249F" w:rsidRPr="00847057" w:rsidRDefault="0094249F" w:rsidP="00446BD7">
            <w:pPr>
              <w:tabs>
                <w:tab w:val="left" w:pos="3705"/>
              </w:tabs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Fig. 1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 – 6 hours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6 – 12 hours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12 – 24 hours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&gt;=24 hours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28% 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43%                     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7%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7%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7%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7%                       1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n=31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29%                       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42%                     13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9%                    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3%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16%                     5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20%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30%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10%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20%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31%                     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37%                     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6%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6%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6%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12%                     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n=78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24%                     19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45%                     35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13%                     10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4%                    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2%                 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11%                     9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Abnormal Ocular Movements during lifetime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100% (22/22)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98% (55/56)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93% (14/15)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82% (19/23)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98% (127/129)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Abnormal Ocular Movements (6-12 years)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57% (8/14)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58% (21/36)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45% (5/11)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59% (10/17)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56% (47/83)</w:t>
            </w:r>
          </w:p>
        </w:tc>
      </w:tr>
      <w:tr w:rsidR="0094249F" w:rsidRPr="00847057" w:rsidTr="00C3047F">
        <w:tc>
          <w:tcPr>
            <w:tcW w:w="0" w:type="auto"/>
            <w:gridSpan w:val="6"/>
            <w:shd w:val="clear" w:color="auto" w:fill="BFBFBF" w:themeFill="background1" w:themeFillShade="BF"/>
          </w:tcPr>
          <w:p w:rsidR="0094249F" w:rsidRPr="00847057" w:rsidRDefault="0094249F" w:rsidP="00446BD7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COGNITION - BEHAVIOUR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Intellectual Disability during lifetime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100% (22/22)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98% (56/57)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100% (15/15)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91% (20/22)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95% (124/130)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Intellectual Disability (6-12 years)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100% (14/14)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100% (36/36)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100% (11/11)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100% (13/13)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95% (82/86)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Degree of Intellectual Disability (6-12 years): </w:t>
            </w:r>
          </w:p>
          <w:p w:rsidR="0094249F" w:rsidRPr="00847057" w:rsidRDefault="0094249F" w:rsidP="00446BD7">
            <w:pPr>
              <w:tabs>
                <w:tab w:val="left" w:pos="3686"/>
              </w:tabs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NO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Fig. 1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Mild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Moderate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Severe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    0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21%                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28%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50%                   7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n=36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     0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22%                    8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69%                   25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8%                      3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63%                  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36%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23%                 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77%                   10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n=86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4%  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32%                   28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46%                   40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16%                   14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Verbal Communication Disorder during lifetime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47% (10/21)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58% (32/55)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43% (6/14)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57% (12/21)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53% (66/123)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Verbal Communication Disorder (6-12 years)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93% (13/14)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79% (26/33)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70% (7/10)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71% (10/14)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80% (64/80)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Degree of Verbal Communication Disorder (6-12 years): </w:t>
            </w:r>
          </w:p>
          <w:p w:rsidR="0094249F" w:rsidRPr="00847057" w:rsidRDefault="0094249F" w:rsidP="00446BD7">
            <w:pPr>
              <w:tabs>
                <w:tab w:val="left" w:pos="3686"/>
              </w:tabs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NO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Fig. 1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Mild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Moderate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Severe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7%                     1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14%             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35%                   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43%                   6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n=33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21%                     7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24%                     8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30%                    10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24%                     8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30%                 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40%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20%              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10%                    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28% 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28% 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28% 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14%                     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n=80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20%                    16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26%                    21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30%                    24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24%                    19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Dysarthria (6-12 years)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80% (4/5)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92% (23/25)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100% (8/8)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63% (7/11)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86% (50/58)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Behavioral Troubles (during lifetime)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47% (10/21)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58% (32/55)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43% (6/14)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57% (12/21)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53% (66/123)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Behavioral Troubles present at inclusion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40% (8/20)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52% (26/50)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27% (3/11)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47% (10/21)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45% (52/114)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Behavioral Troubles 6-12 y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43% (6/14)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58% (21/36)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9% (1/11)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64% (9/14)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49% (40/82)</w:t>
            </w:r>
          </w:p>
        </w:tc>
      </w:tr>
      <w:tr w:rsidR="0094249F" w:rsidRPr="00847057" w:rsidTr="00C3047F">
        <w:tc>
          <w:tcPr>
            <w:tcW w:w="0" w:type="auto"/>
            <w:gridSpan w:val="6"/>
            <w:shd w:val="clear" w:color="auto" w:fill="BFBFBF" w:themeFill="background1" w:themeFillShade="BF"/>
          </w:tcPr>
          <w:p w:rsidR="0094249F" w:rsidRPr="00847057" w:rsidRDefault="0094249F" w:rsidP="00446BD7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MOTOR DISABILITY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Walking (6-12 years) </w:t>
            </w:r>
          </w:p>
          <w:p w:rsidR="0094249F" w:rsidRPr="00847057" w:rsidRDefault="0094249F" w:rsidP="00446BD7">
            <w:pPr>
              <w:tabs>
                <w:tab w:val="left" w:pos="3686"/>
              </w:tabs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Autonomous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Fig. 1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With Help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Not possible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28%   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43%                       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28%                       4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n=37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81%                     30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13%                      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5%                        2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91%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9%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76%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17%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6%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n=87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74%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16%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9%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8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Ataxia during lifetime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41% (7/17)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71% (38/53)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57% (8/14)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37% (7/19)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60% (70/116)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Ataxia 6-12 y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pStyle w:val="NormalWeb"/>
              <w:spacing w:before="0" w:beforeAutospacing="0" w:after="0" w:afterAutospacing="0" w:line="480" w:lineRule="auto"/>
              <w:rPr>
                <w:kern w:val="24"/>
                <w:sz w:val="20"/>
                <w:szCs w:val="20"/>
              </w:rPr>
            </w:pPr>
            <w:r w:rsidRPr="00847057">
              <w:rPr>
                <w:kern w:val="24"/>
                <w:sz w:val="20"/>
                <w:szCs w:val="20"/>
              </w:rPr>
              <w:t>33% (3/9)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pStyle w:val="NormalWeb"/>
              <w:spacing w:before="0" w:beforeAutospacing="0" w:after="0" w:afterAutospacing="0" w:line="480" w:lineRule="auto"/>
              <w:rPr>
                <w:kern w:val="24"/>
                <w:sz w:val="20"/>
                <w:szCs w:val="20"/>
              </w:rPr>
            </w:pPr>
            <w:r w:rsidRPr="00847057">
              <w:rPr>
                <w:kern w:val="24"/>
                <w:sz w:val="20"/>
                <w:szCs w:val="20"/>
              </w:rPr>
              <w:t>63% (21/33)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pStyle w:val="NormalWeb"/>
              <w:spacing w:before="0" w:beforeAutospacing="0" w:after="0" w:afterAutospacing="0" w:line="480" w:lineRule="auto"/>
              <w:rPr>
                <w:kern w:val="24"/>
                <w:sz w:val="20"/>
                <w:szCs w:val="20"/>
              </w:rPr>
            </w:pPr>
            <w:r w:rsidRPr="00847057">
              <w:rPr>
                <w:kern w:val="24"/>
                <w:sz w:val="20"/>
                <w:szCs w:val="20"/>
              </w:rPr>
              <w:t>22% (2/9)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38% (5/13)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48% (35/72)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Degree of ataxia 6-12 y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         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NO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Fig. 1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Mild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Moderate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Severe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66%                       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22%                 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11%                       1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n=33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36%                    12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30%                    10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21%                     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12%                     4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78%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22%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n=13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61%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23%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7%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7%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n=72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51%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26%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19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14%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10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8%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6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Dystonia during lifetime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68% (15/22)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73% (42/57)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86% (13/15)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57% (12/21)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74% (96/129)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Dystonia 6-12 y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7057">
              <w:rPr>
                <w:rFonts w:ascii="Times New Roman" w:eastAsia="Times New Roman" w:hAnsi="Times New Roman"/>
                <w:kern w:val="24"/>
                <w:sz w:val="20"/>
                <w:szCs w:val="20"/>
                <w:lang w:eastAsia="fr-FR"/>
              </w:rPr>
              <w:t>71% (10/14)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contextualSpacing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u w:val="single"/>
                <w:lang w:eastAsia="fr-FR"/>
              </w:rPr>
            </w:pPr>
            <w:r w:rsidRPr="00847057">
              <w:rPr>
                <w:rFonts w:ascii="Times New Roman" w:eastAsia="Times New Roman" w:hAnsi="Times New Roman"/>
                <w:kern w:val="24"/>
                <w:sz w:val="20"/>
                <w:szCs w:val="20"/>
                <w:lang w:eastAsia="fr-FR"/>
              </w:rPr>
              <w:t>63% (22/35)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contextualSpacing/>
              <w:rPr>
                <w:rFonts w:ascii="Times New Roman" w:eastAsia="Times New Roman" w:hAnsi="Times New Roman"/>
                <w:kern w:val="24"/>
                <w:sz w:val="20"/>
                <w:szCs w:val="20"/>
                <w:lang w:eastAsia="fr-FR"/>
              </w:rPr>
            </w:pPr>
            <w:r w:rsidRPr="00847057">
              <w:rPr>
                <w:rFonts w:ascii="Times New Roman" w:eastAsia="Times New Roman" w:hAnsi="Times New Roman"/>
                <w:kern w:val="24"/>
                <w:sz w:val="20"/>
                <w:szCs w:val="20"/>
                <w:lang w:eastAsia="fr-FR"/>
              </w:rPr>
              <w:t>54% (6/11)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56% (9/16)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62% (52/84)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Degree of dystonia 6-12 y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NO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Fig. 1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Mild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Moderate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                      Severe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28%   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14%                 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35%                       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21%                       3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n=35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37%                     13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43%                     15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17%                       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3%                         1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45%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45%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9%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44%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31%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12%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12%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n=84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38%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37%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19%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16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6%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5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Other/Complex movement disorder during lifetime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7057">
              <w:rPr>
                <w:rFonts w:ascii="Times New Roman" w:eastAsia="Times New Roman" w:hAnsi="Times New Roman"/>
                <w:kern w:val="24"/>
                <w:sz w:val="20"/>
                <w:szCs w:val="20"/>
                <w:lang w:eastAsia="fr-FR"/>
              </w:rPr>
              <w:t>68% (15/22)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contextualSpacing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u w:val="single"/>
                <w:lang w:eastAsia="fr-FR"/>
              </w:rPr>
            </w:pPr>
            <w:r w:rsidRPr="00847057">
              <w:rPr>
                <w:rFonts w:ascii="Times New Roman" w:eastAsia="Times New Roman" w:hAnsi="Times New Roman"/>
                <w:kern w:val="24"/>
                <w:sz w:val="20"/>
                <w:szCs w:val="20"/>
                <w:lang w:eastAsia="fr-FR"/>
              </w:rPr>
              <w:t>52% (29/56)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contextualSpacing/>
              <w:rPr>
                <w:rFonts w:ascii="Times New Roman" w:eastAsia="Times New Roman" w:hAnsi="Times New Roman"/>
                <w:kern w:val="24"/>
                <w:sz w:val="20"/>
                <w:szCs w:val="20"/>
                <w:lang w:eastAsia="fr-FR"/>
              </w:rPr>
            </w:pPr>
            <w:r w:rsidRPr="00847057">
              <w:rPr>
                <w:rFonts w:ascii="Times New Roman" w:eastAsia="Times New Roman" w:hAnsi="Times New Roman"/>
                <w:kern w:val="24"/>
                <w:sz w:val="20"/>
                <w:szCs w:val="20"/>
                <w:lang w:eastAsia="fr-FR"/>
              </w:rPr>
              <w:t>80% (12/15)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62% (13/21)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60% (77/127)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Other/Complex movement disorder 6-12 y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pStyle w:val="NormalWeb"/>
              <w:spacing w:before="0" w:beforeAutospacing="0" w:after="0" w:afterAutospacing="0" w:line="480" w:lineRule="auto"/>
              <w:rPr>
                <w:kern w:val="24"/>
                <w:sz w:val="20"/>
                <w:szCs w:val="20"/>
              </w:rPr>
            </w:pPr>
            <w:r w:rsidRPr="00847057">
              <w:rPr>
                <w:kern w:val="24"/>
                <w:sz w:val="20"/>
                <w:szCs w:val="20"/>
              </w:rPr>
              <w:t>69% (9/13)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pStyle w:val="NormalWeb"/>
              <w:spacing w:before="0" w:beforeAutospacing="0" w:after="0" w:afterAutospacing="0" w:line="480" w:lineRule="auto"/>
              <w:rPr>
                <w:kern w:val="24"/>
                <w:sz w:val="20"/>
                <w:szCs w:val="20"/>
              </w:rPr>
            </w:pPr>
            <w:r w:rsidRPr="00847057">
              <w:rPr>
                <w:kern w:val="24"/>
                <w:sz w:val="20"/>
                <w:szCs w:val="20"/>
              </w:rPr>
              <w:t>40% (14/35)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pStyle w:val="NormalWeb"/>
              <w:spacing w:before="0" w:beforeAutospacing="0" w:after="0" w:afterAutospacing="0" w:line="480" w:lineRule="auto"/>
              <w:rPr>
                <w:kern w:val="24"/>
                <w:sz w:val="20"/>
                <w:szCs w:val="20"/>
              </w:rPr>
            </w:pPr>
            <w:r w:rsidRPr="00847057">
              <w:rPr>
                <w:kern w:val="24"/>
                <w:sz w:val="20"/>
                <w:szCs w:val="20"/>
              </w:rPr>
              <w:t>54% (6/11)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68% (11/16)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47% (39/82)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Movement disorders (all) during lifetime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  <w:r w:rsidRPr="00847057">
              <w:rPr>
                <w:rFonts w:ascii="Times New Roman" w:eastAsia="Times New Roman" w:hAnsi="Times New Roman"/>
                <w:kern w:val="24"/>
                <w:sz w:val="20"/>
                <w:szCs w:val="20"/>
                <w:lang w:eastAsia="fr-FR"/>
              </w:rPr>
              <w:t>100% (20/20)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contextualSpacing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fr-FR"/>
              </w:rPr>
            </w:pPr>
            <w:r w:rsidRPr="00847057">
              <w:rPr>
                <w:rFonts w:ascii="Times New Roman" w:eastAsia="Times New Roman" w:hAnsi="Times New Roman"/>
                <w:kern w:val="24"/>
                <w:sz w:val="20"/>
                <w:szCs w:val="20"/>
                <w:lang w:eastAsia="fr-FR"/>
              </w:rPr>
              <w:t>94% (52/55)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contextualSpacing/>
              <w:rPr>
                <w:rFonts w:ascii="Times New Roman" w:eastAsia="Times New Roman" w:hAnsi="Times New Roman"/>
                <w:kern w:val="24"/>
                <w:sz w:val="20"/>
                <w:szCs w:val="20"/>
                <w:lang w:eastAsia="fr-FR"/>
              </w:rPr>
            </w:pPr>
            <w:r w:rsidRPr="00847057">
              <w:rPr>
                <w:rFonts w:ascii="Times New Roman" w:eastAsia="Times New Roman" w:hAnsi="Times New Roman"/>
                <w:kern w:val="24"/>
                <w:sz w:val="20"/>
                <w:szCs w:val="20"/>
                <w:lang w:eastAsia="fr-FR"/>
              </w:rPr>
              <w:t>100% (15/15)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82% (18/22)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95% (121/127)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Movement disorders 6-12 y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pStyle w:val="NormalWeb"/>
              <w:spacing w:before="0" w:beforeAutospacing="0" w:after="0" w:afterAutospacing="0" w:line="480" w:lineRule="auto"/>
              <w:rPr>
                <w:kern w:val="24"/>
                <w:sz w:val="20"/>
                <w:szCs w:val="20"/>
              </w:rPr>
            </w:pPr>
            <w:r w:rsidRPr="00847057">
              <w:rPr>
                <w:kern w:val="24"/>
                <w:sz w:val="20"/>
                <w:szCs w:val="20"/>
              </w:rPr>
              <w:t>78% (11/14)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pStyle w:val="NormalWeb"/>
              <w:spacing w:before="0" w:beforeAutospacing="0" w:after="0" w:afterAutospacing="0" w:line="480" w:lineRule="auto"/>
              <w:rPr>
                <w:kern w:val="24"/>
                <w:sz w:val="20"/>
                <w:szCs w:val="20"/>
              </w:rPr>
            </w:pPr>
            <w:r w:rsidRPr="00847057">
              <w:rPr>
                <w:kern w:val="24"/>
                <w:sz w:val="20"/>
                <w:szCs w:val="20"/>
              </w:rPr>
              <w:t>89% (33/37)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pStyle w:val="NormalWeb"/>
              <w:spacing w:before="0" w:beforeAutospacing="0" w:after="0" w:afterAutospacing="0" w:line="480" w:lineRule="auto"/>
              <w:rPr>
                <w:kern w:val="24"/>
                <w:sz w:val="20"/>
                <w:szCs w:val="20"/>
              </w:rPr>
            </w:pPr>
            <w:r w:rsidRPr="00847057">
              <w:rPr>
                <w:kern w:val="24"/>
                <w:sz w:val="20"/>
                <w:szCs w:val="20"/>
              </w:rPr>
              <w:t>72% (8/11)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87% (14/16)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84% (73/87)</w:t>
            </w:r>
          </w:p>
        </w:tc>
      </w:tr>
      <w:tr w:rsidR="0094249F" w:rsidRPr="00847057" w:rsidTr="00C3047F">
        <w:tc>
          <w:tcPr>
            <w:tcW w:w="0" w:type="auto"/>
            <w:gridSpan w:val="6"/>
            <w:shd w:val="clear" w:color="auto" w:fill="BFBFBF" w:themeFill="background1" w:themeFillShade="BF"/>
          </w:tcPr>
          <w:p w:rsidR="0094249F" w:rsidRPr="00847057" w:rsidRDefault="0094249F" w:rsidP="00446BD7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EPILEPSY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Epilepsy during lifetime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82% (18/22)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55% (31/56)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40% (6/15)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50% (11/22)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59% (76/129)</w:t>
            </w:r>
          </w:p>
        </w:tc>
      </w:tr>
      <w:tr w:rsidR="0094249F" w:rsidRPr="00CD08BF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Age of onset of first seizure in months          </w:t>
            </w:r>
          </w:p>
          <w:p w:rsidR="0094249F" w:rsidRPr="00847057" w:rsidRDefault="0094249F" w:rsidP="00446BD7">
            <w:pPr>
              <w:tabs>
                <w:tab w:val="left" w:pos="3495"/>
              </w:tabs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(median-mean)</w:t>
            </w:r>
          </w:p>
          <w:p w:rsidR="0094249F" w:rsidRPr="00847057" w:rsidRDefault="0094249F" w:rsidP="00606900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 </w:t>
            </w: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Fig. 2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 (min-max)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n=14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7,5 - 23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0 - 144 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n=26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63 - 81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5 - 294 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4- 5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1 - 6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 – 14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0 – 84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n=63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21 – 53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0 – 294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Epilepsy present at inclusion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47% (10/21)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30% (17/56)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13% (2/15)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24% (5/21)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32% (42/129)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Epilepsy at 6-12 years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50% (7/14)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39% (14/36)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18% (2/11)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23% (4/17)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35% (30/86)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Semiology of seizures at 6-12 years                                            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FOCAL, +/- SECONDARY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GENERALISATION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GENERALIZED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FOCAL AND GENERALIZED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71%                      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28%                      2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61%                      8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30%  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7%                        1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n=2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50%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75%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  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n=29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58%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27%                        8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14%                        4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Frequency of seizures at 6-12 years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&lt;=1/year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Fig. 1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1-6/year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Monthly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Weekly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33%                 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50%                    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16%                       1 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50%                      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43%                      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7% 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   0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100%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100%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n=29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34%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41%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12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14%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10%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3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Status epilepticus during lifetime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38% (8/21)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21% (12/56)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20% (3/15)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19% (4/21)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24% (31/127)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Age of onset of first status in months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proofErr w:type="gramStart"/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median-mean</w:t>
            </w:r>
            <w:proofErr w:type="gramEnd"/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)            .                                                                              (min-max)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114- 114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0-228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60 - 81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39 - 152 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180 - 190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20 - 370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9 - 41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7 - 108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97 - 119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0 - 370 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Status epilepticus present at inclusion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24% (5/21)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12% (7/57)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15% (2/13)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5% (1/20)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14% (18/128)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Status epilepticus at 6-12 years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21% (3/14)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11% (4/37)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9% (1/11)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(0/17)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11% (10/87)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Semiology of status at 6-12 years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CONVULSIVE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Fig. 1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NOT CONVULSIVE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BOTH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66%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0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100%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  0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0%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 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0%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  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n=9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78%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22%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0</w:t>
            </w:r>
          </w:p>
        </w:tc>
      </w:tr>
      <w:tr w:rsidR="0094249F" w:rsidRPr="00847057" w:rsidTr="00C3047F">
        <w:tc>
          <w:tcPr>
            <w:tcW w:w="0" w:type="auto"/>
            <w:gridSpan w:val="6"/>
            <w:shd w:val="clear" w:color="auto" w:fill="BFBFBF" w:themeFill="background1" w:themeFillShade="BF"/>
          </w:tcPr>
          <w:p w:rsidR="0094249F" w:rsidRPr="00847057" w:rsidRDefault="0094249F" w:rsidP="00446BD7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AUTONOMIC DYSFUNCTION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Autonomic dysfunction during lifetime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95% (21/22)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74% (37/50)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71% (10/14)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77% (17/22)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76% (89/117)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Autonomic dysfunction present at inclusion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62% (13/21)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44% (23/52)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43% (6/14)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62% (13/21)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45% (54/120)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Autonomic dysfunction 6-12 y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78% (11/14)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44% (15/34)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50% (5/10)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35% (5/14)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52% (42/81)</w:t>
            </w:r>
          </w:p>
        </w:tc>
      </w:tr>
      <w:tr w:rsidR="0094249F" w:rsidRPr="00847057" w:rsidTr="00C3047F">
        <w:tc>
          <w:tcPr>
            <w:tcW w:w="5070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Frequency episodes autonomic dysfunction 6-12 y 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NO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&lt;=1/year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See 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</w:t>
            </w: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Fig. </w:t>
            </w:r>
            <w:r w:rsidR="00CD08B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 w:rsidR="0060690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)</w:t>
            </w:r>
            <w:r w:rsidRPr="0084705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</w:t>
            </w:r>
            <w:r w:rsidR="00446B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1-</w:t>
            </w:r>
            <w:r w:rsidR="00446BD7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/year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Monthly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Weekly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Daily</w:t>
            </w:r>
          </w:p>
        </w:tc>
        <w:tc>
          <w:tcPr>
            <w:tcW w:w="1842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25% 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8%  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41%  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8%  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16%  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2</w:t>
            </w:r>
          </w:p>
        </w:tc>
        <w:tc>
          <w:tcPr>
            <w:tcW w:w="1843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n=29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65%                     19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3%                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10%                    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7%                   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14%                       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0%                         0</w:t>
            </w:r>
          </w:p>
        </w:tc>
        <w:tc>
          <w:tcPr>
            <w:tcW w:w="1746" w:type="dxa"/>
            <w:shd w:val="clear" w:color="auto" w:fill="FFFFFF" w:themeFill="background1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n=9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55%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11%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11%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11%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11%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n=18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44%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0%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0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5%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1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5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11%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n=106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62% 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66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 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3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6%                          7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11%     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12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14</w:t>
            </w:r>
          </w:p>
          <w:p w:rsidR="0094249F" w:rsidRPr="00847057" w:rsidRDefault="0094249F" w:rsidP="00446BD7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%         </w:t>
            </w:r>
            <w:r w:rsidRPr="0084705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4</w:t>
            </w:r>
          </w:p>
        </w:tc>
      </w:tr>
      <w:tr w:rsidR="0094249F" w:rsidRPr="00847057" w:rsidTr="00C3047F">
        <w:tc>
          <w:tcPr>
            <w:tcW w:w="0" w:type="auto"/>
            <w:gridSpan w:val="6"/>
            <w:shd w:val="clear" w:color="auto" w:fill="BFBFBF" w:themeFill="background1" w:themeFillShade="BF"/>
          </w:tcPr>
          <w:p w:rsidR="0094249F" w:rsidRPr="00847057" w:rsidRDefault="0094249F" w:rsidP="00446BD7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94249F" w:rsidRPr="005C2FED" w:rsidRDefault="0094249F" w:rsidP="008A5E23">
      <w:pPr>
        <w:spacing w:after="0" w:line="240" w:lineRule="auto"/>
        <w:rPr>
          <w:bCs/>
          <w:lang w:val="en-US"/>
        </w:rPr>
      </w:pPr>
    </w:p>
    <w:sectPr w:rsidR="0094249F" w:rsidRPr="005C2FED" w:rsidSect="00026A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BD7" w:rsidRDefault="00446BD7">
      <w:pPr>
        <w:spacing w:after="0" w:line="240" w:lineRule="auto"/>
      </w:pPr>
      <w:r>
        <w:separator/>
      </w:r>
    </w:p>
  </w:endnote>
  <w:endnote w:type="continuationSeparator" w:id="0">
    <w:p w:rsidR="00446BD7" w:rsidRDefault="00446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D7" w:rsidRDefault="00446BD7" w:rsidP="00D759D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46BD7" w:rsidRDefault="00446BD7" w:rsidP="00FC088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D7" w:rsidRDefault="00446BD7" w:rsidP="00D759D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41160">
      <w:rPr>
        <w:rStyle w:val="Numrodepage"/>
        <w:noProof/>
      </w:rPr>
      <w:t>7</w:t>
    </w:r>
    <w:r>
      <w:rPr>
        <w:rStyle w:val="Numrodepage"/>
      </w:rPr>
      <w:fldChar w:fldCharType="end"/>
    </w:r>
  </w:p>
  <w:p w:rsidR="00446BD7" w:rsidRDefault="00446BD7" w:rsidP="00FC0882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D7" w:rsidRDefault="00446BD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BD7" w:rsidRDefault="00446BD7">
      <w:pPr>
        <w:spacing w:after="0" w:line="240" w:lineRule="auto"/>
      </w:pPr>
      <w:r>
        <w:separator/>
      </w:r>
    </w:p>
  </w:footnote>
  <w:footnote w:type="continuationSeparator" w:id="0">
    <w:p w:rsidR="00446BD7" w:rsidRDefault="00446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D7" w:rsidRDefault="00446BD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D7" w:rsidRDefault="00446BD7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BD7" w:rsidRDefault="00446BD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6FEE"/>
    <w:multiLevelType w:val="hybridMultilevel"/>
    <w:tmpl w:val="873A2C4C"/>
    <w:lvl w:ilvl="0" w:tplc="BA7CD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F20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7856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2E79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7CA2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A18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CAA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3E65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A69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671085B"/>
    <w:multiLevelType w:val="hybridMultilevel"/>
    <w:tmpl w:val="8048B79A"/>
    <w:lvl w:ilvl="0" w:tplc="350EA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8A96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A67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048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E667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D2B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BC2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60E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206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5DD131F"/>
    <w:multiLevelType w:val="hybridMultilevel"/>
    <w:tmpl w:val="99803BD2"/>
    <w:lvl w:ilvl="0" w:tplc="51DE3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A64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16C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B6B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C00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A4A1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4C2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163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D22B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7636268"/>
    <w:multiLevelType w:val="hybridMultilevel"/>
    <w:tmpl w:val="DD70A1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405B4"/>
    <w:multiLevelType w:val="hybridMultilevel"/>
    <w:tmpl w:val="088AEA82"/>
    <w:lvl w:ilvl="0" w:tplc="434E5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EA5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5C9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9AB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BA4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466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EE9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AD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F8F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DFC5FF8"/>
    <w:multiLevelType w:val="hybridMultilevel"/>
    <w:tmpl w:val="EC4E2EC8"/>
    <w:lvl w:ilvl="0" w:tplc="2C52D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883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722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CC9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2C7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623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B02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D062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481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CB5773E"/>
    <w:multiLevelType w:val="hybridMultilevel"/>
    <w:tmpl w:val="AF0842F0"/>
    <w:lvl w:ilvl="0" w:tplc="6BD2EE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34F8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06B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EA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28F9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46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EE4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680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346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B4A"/>
    <w:rsid w:val="000028C4"/>
    <w:rsid w:val="00004076"/>
    <w:rsid w:val="00021051"/>
    <w:rsid w:val="00021779"/>
    <w:rsid w:val="00025B75"/>
    <w:rsid w:val="00026A3E"/>
    <w:rsid w:val="00027C46"/>
    <w:rsid w:val="0003214F"/>
    <w:rsid w:val="000521F3"/>
    <w:rsid w:val="00072258"/>
    <w:rsid w:val="00072F56"/>
    <w:rsid w:val="00074DA5"/>
    <w:rsid w:val="00077280"/>
    <w:rsid w:val="000934B6"/>
    <w:rsid w:val="000A1836"/>
    <w:rsid w:val="000A6AE6"/>
    <w:rsid w:val="000B250D"/>
    <w:rsid w:val="000D3B98"/>
    <w:rsid w:val="000D64C8"/>
    <w:rsid w:val="000E3F1D"/>
    <w:rsid w:val="000E5BF2"/>
    <w:rsid w:val="001030F0"/>
    <w:rsid w:val="001103C8"/>
    <w:rsid w:val="00114435"/>
    <w:rsid w:val="00125EE5"/>
    <w:rsid w:val="001415A8"/>
    <w:rsid w:val="001427C0"/>
    <w:rsid w:val="00143A6A"/>
    <w:rsid w:val="00144C6D"/>
    <w:rsid w:val="001506ED"/>
    <w:rsid w:val="00155F12"/>
    <w:rsid w:val="0016210D"/>
    <w:rsid w:val="00175276"/>
    <w:rsid w:val="00186A80"/>
    <w:rsid w:val="001A3CC0"/>
    <w:rsid w:val="001A4243"/>
    <w:rsid w:val="001A769E"/>
    <w:rsid w:val="001B40E2"/>
    <w:rsid w:val="001B4F89"/>
    <w:rsid w:val="001B7CF6"/>
    <w:rsid w:val="001C347D"/>
    <w:rsid w:val="001C4DEB"/>
    <w:rsid w:val="001D4A14"/>
    <w:rsid w:val="001D5FE9"/>
    <w:rsid w:val="001D67A5"/>
    <w:rsid w:val="001E03E0"/>
    <w:rsid w:val="001E64E9"/>
    <w:rsid w:val="001F2DA7"/>
    <w:rsid w:val="001F4A32"/>
    <w:rsid w:val="00206018"/>
    <w:rsid w:val="00234951"/>
    <w:rsid w:val="00234CB2"/>
    <w:rsid w:val="00235C3B"/>
    <w:rsid w:val="00246F52"/>
    <w:rsid w:val="00283E60"/>
    <w:rsid w:val="00287DF7"/>
    <w:rsid w:val="002B6E9F"/>
    <w:rsid w:val="002B762B"/>
    <w:rsid w:val="002C4CAE"/>
    <w:rsid w:val="002D107E"/>
    <w:rsid w:val="002D382E"/>
    <w:rsid w:val="002D3907"/>
    <w:rsid w:val="002D697C"/>
    <w:rsid w:val="002E318E"/>
    <w:rsid w:val="00300C4C"/>
    <w:rsid w:val="0030281D"/>
    <w:rsid w:val="0030472E"/>
    <w:rsid w:val="00305276"/>
    <w:rsid w:val="00307E0A"/>
    <w:rsid w:val="00311C1F"/>
    <w:rsid w:val="00317AC6"/>
    <w:rsid w:val="003277C8"/>
    <w:rsid w:val="00332937"/>
    <w:rsid w:val="00334DE8"/>
    <w:rsid w:val="00335490"/>
    <w:rsid w:val="003457BE"/>
    <w:rsid w:val="00357CAE"/>
    <w:rsid w:val="0038396C"/>
    <w:rsid w:val="00383F18"/>
    <w:rsid w:val="00390434"/>
    <w:rsid w:val="00390B86"/>
    <w:rsid w:val="00393720"/>
    <w:rsid w:val="00394E50"/>
    <w:rsid w:val="003A2419"/>
    <w:rsid w:val="003B5F3E"/>
    <w:rsid w:val="003B6BE2"/>
    <w:rsid w:val="003C0085"/>
    <w:rsid w:val="003D4A0D"/>
    <w:rsid w:val="003D5CC4"/>
    <w:rsid w:val="003D798E"/>
    <w:rsid w:val="003E3498"/>
    <w:rsid w:val="003F51D9"/>
    <w:rsid w:val="0040220E"/>
    <w:rsid w:val="00404FD6"/>
    <w:rsid w:val="00414EFC"/>
    <w:rsid w:val="00422027"/>
    <w:rsid w:val="004370C0"/>
    <w:rsid w:val="00440570"/>
    <w:rsid w:val="00446BD7"/>
    <w:rsid w:val="00451C51"/>
    <w:rsid w:val="00457B51"/>
    <w:rsid w:val="0047120C"/>
    <w:rsid w:val="00472B36"/>
    <w:rsid w:val="00480F51"/>
    <w:rsid w:val="004C3174"/>
    <w:rsid w:val="004C3618"/>
    <w:rsid w:val="004C5A9A"/>
    <w:rsid w:val="004C6066"/>
    <w:rsid w:val="004C647D"/>
    <w:rsid w:val="004D14D0"/>
    <w:rsid w:val="004F0F0D"/>
    <w:rsid w:val="004F797D"/>
    <w:rsid w:val="00501904"/>
    <w:rsid w:val="00504101"/>
    <w:rsid w:val="005049D7"/>
    <w:rsid w:val="00504FF4"/>
    <w:rsid w:val="00514BAD"/>
    <w:rsid w:val="00514BB6"/>
    <w:rsid w:val="00530E96"/>
    <w:rsid w:val="0053417F"/>
    <w:rsid w:val="00542C5E"/>
    <w:rsid w:val="00547146"/>
    <w:rsid w:val="0054741A"/>
    <w:rsid w:val="00573D1C"/>
    <w:rsid w:val="00583099"/>
    <w:rsid w:val="00594009"/>
    <w:rsid w:val="005B365D"/>
    <w:rsid w:val="005C17D3"/>
    <w:rsid w:val="005C2FED"/>
    <w:rsid w:val="005C3526"/>
    <w:rsid w:val="005C3542"/>
    <w:rsid w:val="005C5F9C"/>
    <w:rsid w:val="005E3EF2"/>
    <w:rsid w:val="005F0100"/>
    <w:rsid w:val="005F1BBC"/>
    <w:rsid w:val="005F3F19"/>
    <w:rsid w:val="005F4632"/>
    <w:rsid w:val="005F5046"/>
    <w:rsid w:val="00606900"/>
    <w:rsid w:val="00615C54"/>
    <w:rsid w:val="00624248"/>
    <w:rsid w:val="00624E44"/>
    <w:rsid w:val="00626AE6"/>
    <w:rsid w:val="006308D0"/>
    <w:rsid w:val="00633B01"/>
    <w:rsid w:val="006342FF"/>
    <w:rsid w:val="00634318"/>
    <w:rsid w:val="00641301"/>
    <w:rsid w:val="006418F8"/>
    <w:rsid w:val="00666197"/>
    <w:rsid w:val="00672CE2"/>
    <w:rsid w:val="00675737"/>
    <w:rsid w:val="006A65E9"/>
    <w:rsid w:val="006B2084"/>
    <w:rsid w:val="006B2762"/>
    <w:rsid w:val="006D7502"/>
    <w:rsid w:val="006E6244"/>
    <w:rsid w:val="006E723B"/>
    <w:rsid w:val="006E7D5A"/>
    <w:rsid w:val="006F5752"/>
    <w:rsid w:val="00702119"/>
    <w:rsid w:val="007053EB"/>
    <w:rsid w:val="00706C72"/>
    <w:rsid w:val="00711BEE"/>
    <w:rsid w:val="007121A8"/>
    <w:rsid w:val="007131DC"/>
    <w:rsid w:val="0071681F"/>
    <w:rsid w:val="007234C3"/>
    <w:rsid w:val="007323B3"/>
    <w:rsid w:val="00735DE0"/>
    <w:rsid w:val="007408CF"/>
    <w:rsid w:val="00741830"/>
    <w:rsid w:val="00744E09"/>
    <w:rsid w:val="00756186"/>
    <w:rsid w:val="0076431E"/>
    <w:rsid w:val="00770941"/>
    <w:rsid w:val="00776D8C"/>
    <w:rsid w:val="007825BB"/>
    <w:rsid w:val="00785145"/>
    <w:rsid w:val="00786F5D"/>
    <w:rsid w:val="007A1039"/>
    <w:rsid w:val="007A2521"/>
    <w:rsid w:val="007B2EE1"/>
    <w:rsid w:val="007E02CB"/>
    <w:rsid w:val="007F1DED"/>
    <w:rsid w:val="007F514F"/>
    <w:rsid w:val="0080315C"/>
    <w:rsid w:val="00806AC0"/>
    <w:rsid w:val="00815484"/>
    <w:rsid w:val="008167D9"/>
    <w:rsid w:val="008221A6"/>
    <w:rsid w:val="00830B16"/>
    <w:rsid w:val="008341C8"/>
    <w:rsid w:val="008349D3"/>
    <w:rsid w:val="008358D1"/>
    <w:rsid w:val="00840DC4"/>
    <w:rsid w:val="00840E9A"/>
    <w:rsid w:val="0084296D"/>
    <w:rsid w:val="00843DE9"/>
    <w:rsid w:val="0084514C"/>
    <w:rsid w:val="00847057"/>
    <w:rsid w:val="00852AA9"/>
    <w:rsid w:val="00856EDE"/>
    <w:rsid w:val="00872CD4"/>
    <w:rsid w:val="008750BF"/>
    <w:rsid w:val="00890D35"/>
    <w:rsid w:val="008937FA"/>
    <w:rsid w:val="0089454C"/>
    <w:rsid w:val="008A5E23"/>
    <w:rsid w:val="008A71F3"/>
    <w:rsid w:val="008A73D1"/>
    <w:rsid w:val="008C5D46"/>
    <w:rsid w:val="008D33E7"/>
    <w:rsid w:val="008E191F"/>
    <w:rsid w:val="008E6339"/>
    <w:rsid w:val="008F054C"/>
    <w:rsid w:val="008F3FC8"/>
    <w:rsid w:val="008F4A6F"/>
    <w:rsid w:val="008F5AFD"/>
    <w:rsid w:val="00905753"/>
    <w:rsid w:val="00910B15"/>
    <w:rsid w:val="0091696E"/>
    <w:rsid w:val="00920566"/>
    <w:rsid w:val="00922715"/>
    <w:rsid w:val="00922C4F"/>
    <w:rsid w:val="00926733"/>
    <w:rsid w:val="0094249F"/>
    <w:rsid w:val="0095270A"/>
    <w:rsid w:val="0095468B"/>
    <w:rsid w:val="009722BF"/>
    <w:rsid w:val="00975017"/>
    <w:rsid w:val="009801D1"/>
    <w:rsid w:val="00981C32"/>
    <w:rsid w:val="00983EA6"/>
    <w:rsid w:val="009B5F91"/>
    <w:rsid w:val="009C60EA"/>
    <w:rsid w:val="009D1617"/>
    <w:rsid w:val="009D6949"/>
    <w:rsid w:val="009D787D"/>
    <w:rsid w:val="00A015CE"/>
    <w:rsid w:val="00A039EA"/>
    <w:rsid w:val="00A4057F"/>
    <w:rsid w:val="00A5117B"/>
    <w:rsid w:val="00A6359F"/>
    <w:rsid w:val="00A655BB"/>
    <w:rsid w:val="00A67943"/>
    <w:rsid w:val="00A74856"/>
    <w:rsid w:val="00A77EA8"/>
    <w:rsid w:val="00A813B7"/>
    <w:rsid w:val="00AA5996"/>
    <w:rsid w:val="00AE23FD"/>
    <w:rsid w:val="00AE25E9"/>
    <w:rsid w:val="00AE41CB"/>
    <w:rsid w:val="00AE48BC"/>
    <w:rsid w:val="00AF143A"/>
    <w:rsid w:val="00AF1CF7"/>
    <w:rsid w:val="00AF389C"/>
    <w:rsid w:val="00AF3D96"/>
    <w:rsid w:val="00B0571F"/>
    <w:rsid w:val="00B24300"/>
    <w:rsid w:val="00B24435"/>
    <w:rsid w:val="00B42EDF"/>
    <w:rsid w:val="00B50E1F"/>
    <w:rsid w:val="00B52F5A"/>
    <w:rsid w:val="00B600C6"/>
    <w:rsid w:val="00B6046D"/>
    <w:rsid w:val="00B61073"/>
    <w:rsid w:val="00B77835"/>
    <w:rsid w:val="00B96A37"/>
    <w:rsid w:val="00BC1C7A"/>
    <w:rsid w:val="00BC7672"/>
    <w:rsid w:val="00BC7979"/>
    <w:rsid w:val="00BE3DC0"/>
    <w:rsid w:val="00BE47C2"/>
    <w:rsid w:val="00BE4E3E"/>
    <w:rsid w:val="00BF363C"/>
    <w:rsid w:val="00BF54C2"/>
    <w:rsid w:val="00BF5536"/>
    <w:rsid w:val="00C0014D"/>
    <w:rsid w:val="00C01FC3"/>
    <w:rsid w:val="00C02DC0"/>
    <w:rsid w:val="00C077BC"/>
    <w:rsid w:val="00C119A4"/>
    <w:rsid w:val="00C27558"/>
    <w:rsid w:val="00C3047F"/>
    <w:rsid w:val="00C45E0E"/>
    <w:rsid w:val="00C63767"/>
    <w:rsid w:val="00C64F82"/>
    <w:rsid w:val="00C72868"/>
    <w:rsid w:val="00C773C1"/>
    <w:rsid w:val="00C9103D"/>
    <w:rsid w:val="00C926F3"/>
    <w:rsid w:val="00C96355"/>
    <w:rsid w:val="00CB5132"/>
    <w:rsid w:val="00CB74C4"/>
    <w:rsid w:val="00CC14E6"/>
    <w:rsid w:val="00CD08BF"/>
    <w:rsid w:val="00CD0FFE"/>
    <w:rsid w:val="00CD14DD"/>
    <w:rsid w:val="00CE3324"/>
    <w:rsid w:val="00CE39B7"/>
    <w:rsid w:val="00CF37F0"/>
    <w:rsid w:val="00CF674C"/>
    <w:rsid w:val="00D07D4E"/>
    <w:rsid w:val="00D1284A"/>
    <w:rsid w:val="00D16DFC"/>
    <w:rsid w:val="00D2088A"/>
    <w:rsid w:val="00D45ED3"/>
    <w:rsid w:val="00D4621F"/>
    <w:rsid w:val="00D47B82"/>
    <w:rsid w:val="00D620ED"/>
    <w:rsid w:val="00D62245"/>
    <w:rsid w:val="00D622B2"/>
    <w:rsid w:val="00D62D5E"/>
    <w:rsid w:val="00D64517"/>
    <w:rsid w:val="00D656F5"/>
    <w:rsid w:val="00D759D0"/>
    <w:rsid w:val="00D925E4"/>
    <w:rsid w:val="00D96C1D"/>
    <w:rsid w:val="00D97675"/>
    <w:rsid w:val="00DA0444"/>
    <w:rsid w:val="00DA5499"/>
    <w:rsid w:val="00DD7FC2"/>
    <w:rsid w:val="00DE38FF"/>
    <w:rsid w:val="00DE6AF1"/>
    <w:rsid w:val="00DE7DE1"/>
    <w:rsid w:val="00E0394D"/>
    <w:rsid w:val="00E072D0"/>
    <w:rsid w:val="00E12442"/>
    <w:rsid w:val="00E20744"/>
    <w:rsid w:val="00E2108E"/>
    <w:rsid w:val="00E22B12"/>
    <w:rsid w:val="00E24250"/>
    <w:rsid w:val="00E25A75"/>
    <w:rsid w:val="00E26403"/>
    <w:rsid w:val="00E41E36"/>
    <w:rsid w:val="00E4339F"/>
    <w:rsid w:val="00E6033E"/>
    <w:rsid w:val="00E662F2"/>
    <w:rsid w:val="00E70AB8"/>
    <w:rsid w:val="00E80855"/>
    <w:rsid w:val="00E80961"/>
    <w:rsid w:val="00E82A3D"/>
    <w:rsid w:val="00E8582E"/>
    <w:rsid w:val="00E95A00"/>
    <w:rsid w:val="00E968C2"/>
    <w:rsid w:val="00EA01E4"/>
    <w:rsid w:val="00EB0D24"/>
    <w:rsid w:val="00EB425E"/>
    <w:rsid w:val="00EC3387"/>
    <w:rsid w:val="00EC3BF0"/>
    <w:rsid w:val="00ED25FB"/>
    <w:rsid w:val="00ED6199"/>
    <w:rsid w:val="00EE05F7"/>
    <w:rsid w:val="00EE12F8"/>
    <w:rsid w:val="00EE1F30"/>
    <w:rsid w:val="00EE55AA"/>
    <w:rsid w:val="00EF1B4A"/>
    <w:rsid w:val="00EF33A5"/>
    <w:rsid w:val="00F1612B"/>
    <w:rsid w:val="00F202EC"/>
    <w:rsid w:val="00F2511B"/>
    <w:rsid w:val="00F41160"/>
    <w:rsid w:val="00F4301B"/>
    <w:rsid w:val="00F53D88"/>
    <w:rsid w:val="00F5724E"/>
    <w:rsid w:val="00F7033E"/>
    <w:rsid w:val="00F7293E"/>
    <w:rsid w:val="00F834A8"/>
    <w:rsid w:val="00F83D8A"/>
    <w:rsid w:val="00F9648E"/>
    <w:rsid w:val="00F971C3"/>
    <w:rsid w:val="00FA140B"/>
    <w:rsid w:val="00FB0E2F"/>
    <w:rsid w:val="00FB48A7"/>
    <w:rsid w:val="00FB5EF0"/>
    <w:rsid w:val="00FC0882"/>
    <w:rsid w:val="00FC1272"/>
    <w:rsid w:val="00FC17F1"/>
    <w:rsid w:val="00FC2F7D"/>
    <w:rsid w:val="00FD033A"/>
    <w:rsid w:val="00FD67AF"/>
    <w:rsid w:val="00FE59C1"/>
    <w:rsid w:val="00FF092C"/>
    <w:rsid w:val="00FF6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96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moyenne2-Accent1">
    <w:name w:val="Medium List 2 Accent 1"/>
    <w:basedOn w:val="TableauNormal"/>
    <w:uiPriority w:val="66"/>
    <w:rsid w:val="00026A3E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dutableau">
    <w:name w:val="Table Grid"/>
    <w:basedOn w:val="TableauNormal"/>
    <w:uiPriority w:val="59"/>
    <w:rsid w:val="00026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rsid w:val="00026A3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5">
    <w:name w:val="Light Shading Accent 5"/>
    <w:basedOn w:val="TableauNormal"/>
    <w:uiPriority w:val="60"/>
    <w:rsid w:val="00026A3E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4">
    <w:name w:val="Light Shading Accent 4"/>
    <w:basedOn w:val="TableauNormal"/>
    <w:uiPriority w:val="60"/>
    <w:rsid w:val="00026A3E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3">
    <w:name w:val="Light Shading Accent 3"/>
    <w:basedOn w:val="TableauNormal"/>
    <w:uiPriority w:val="60"/>
    <w:rsid w:val="00026A3E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2">
    <w:name w:val="Light Shading Accent 2"/>
    <w:basedOn w:val="TableauNormal"/>
    <w:uiPriority w:val="60"/>
    <w:rsid w:val="00026A3E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Ombrageclair">
    <w:name w:val="Light Shading"/>
    <w:basedOn w:val="TableauNormal"/>
    <w:uiPriority w:val="60"/>
    <w:rsid w:val="00026A3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agraphedeliste">
    <w:name w:val="List Paragraph"/>
    <w:basedOn w:val="Normal"/>
    <w:uiPriority w:val="34"/>
    <w:qFormat/>
    <w:rsid w:val="001A3CC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1A3C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rsid w:val="00390434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3904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90434"/>
    <w:rPr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0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0434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FC0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C0882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FC0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C0882"/>
    <w:rPr>
      <w:sz w:val="22"/>
      <w:szCs w:val="22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FC08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96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moyenne2-Accent1">
    <w:name w:val="Medium List 2 Accent 1"/>
    <w:basedOn w:val="TableauNormal"/>
    <w:uiPriority w:val="66"/>
    <w:rsid w:val="00026A3E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dutableau">
    <w:name w:val="Table Grid"/>
    <w:basedOn w:val="TableauNormal"/>
    <w:uiPriority w:val="59"/>
    <w:rsid w:val="00026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rsid w:val="00026A3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5">
    <w:name w:val="Light Shading Accent 5"/>
    <w:basedOn w:val="TableauNormal"/>
    <w:uiPriority w:val="60"/>
    <w:rsid w:val="00026A3E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4">
    <w:name w:val="Light Shading Accent 4"/>
    <w:basedOn w:val="TableauNormal"/>
    <w:uiPriority w:val="60"/>
    <w:rsid w:val="00026A3E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3">
    <w:name w:val="Light Shading Accent 3"/>
    <w:basedOn w:val="TableauNormal"/>
    <w:uiPriority w:val="60"/>
    <w:rsid w:val="00026A3E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2">
    <w:name w:val="Light Shading Accent 2"/>
    <w:basedOn w:val="TableauNormal"/>
    <w:uiPriority w:val="60"/>
    <w:rsid w:val="00026A3E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Ombrageclair">
    <w:name w:val="Light Shading"/>
    <w:basedOn w:val="TableauNormal"/>
    <w:uiPriority w:val="60"/>
    <w:rsid w:val="00026A3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agraphedeliste">
    <w:name w:val="List Paragraph"/>
    <w:basedOn w:val="Normal"/>
    <w:uiPriority w:val="34"/>
    <w:qFormat/>
    <w:rsid w:val="001A3CC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1A3C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rsid w:val="00390434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3904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90434"/>
    <w:rPr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0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0434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FC0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C0882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FC0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C0882"/>
    <w:rPr>
      <w:sz w:val="22"/>
      <w:szCs w:val="22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FC0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2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10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73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02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083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60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8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6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13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09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98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68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5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0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07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17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8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60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3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85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56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64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4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62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97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48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9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C3043-AC1F-41CB-A17A-EC84AA54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2970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19267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PANAGIOTAKAKI, Eleni</dc:creator>
  <cp:lastModifiedBy>PANAGIOTAKAKI, Eleni</cp:lastModifiedBy>
  <cp:revision>4</cp:revision>
  <cp:lastPrinted>2014-08-02T09:42:00Z</cp:lastPrinted>
  <dcterms:created xsi:type="dcterms:W3CDTF">2015-06-27T18:03:00Z</dcterms:created>
  <dcterms:modified xsi:type="dcterms:W3CDTF">2015-06-27T21:40:00Z</dcterms:modified>
</cp:coreProperties>
</file>