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9F" w:rsidRDefault="00340F9F" w:rsidP="00340F9F">
      <w:pPr>
        <w:jc w:val="both"/>
      </w:pPr>
    </w:p>
    <w:p w:rsidR="00340F9F" w:rsidRDefault="00E70D31" w:rsidP="00FC3941">
      <w:bookmarkStart w:id="0" w:name="_Toc442445152"/>
      <w:r>
        <w:t>Appendix C</w:t>
      </w:r>
      <w:r w:rsidR="00340F9F" w:rsidRPr="00340F9F">
        <w:t xml:space="preserve"> – Attributes and Levels used in the </w:t>
      </w:r>
      <w:r w:rsidR="00340F9F">
        <w:t>DCE</w:t>
      </w:r>
      <w:bookmarkEnd w:id="0"/>
    </w:p>
    <w:p w:rsidR="00340F9F" w:rsidRDefault="00340F9F" w:rsidP="00340F9F">
      <w:pPr>
        <w:jc w:val="both"/>
      </w:pPr>
    </w:p>
    <w:tbl>
      <w:tblPr>
        <w:tblStyle w:val="TableGrid1"/>
        <w:tblW w:w="5000" w:type="pct"/>
        <w:tblLook w:val="04A0"/>
      </w:tblPr>
      <w:tblGrid>
        <w:gridCol w:w="2944"/>
        <w:gridCol w:w="3539"/>
        <w:gridCol w:w="3093"/>
      </w:tblGrid>
      <w:tr w:rsidR="00714B52" w:rsidRPr="00340F9F" w:rsidTr="003A45F9">
        <w:tc>
          <w:tcPr>
            <w:tcW w:w="1537" w:type="pct"/>
            <w:shd w:val="clear" w:color="auto" w:fill="1F497D" w:themeFill="text2"/>
          </w:tcPr>
          <w:p w:rsidR="00714B52" w:rsidRPr="00340F9F" w:rsidRDefault="00714B52" w:rsidP="003A45F9">
            <w:pPr>
              <w:rPr>
                <w:b/>
                <w:color w:val="FFFFFF" w:themeColor="background1"/>
                <w:sz w:val="16"/>
                <w:szCs w:val="14"/>
              </w:rPr>
            </w:pPr>
            <w:r w:rsidRPr="00340F9F">
              <w:rPr>
                <w:b/>
                <w:color w:val="FFFFFF" w:themeColor="background1"/>
                <w:sz w:val="16"/>
                <w:szCs w:val="14"/>
              </w:rPr>
              <w:t>Attribute labels</w:t>
            </w:r>
          </w:p>
        </w:tc>
        <w:tc>
          <w:tcPr>
            <w:tcW w:w="1848" w:type="pct"/>
            <w:shd w:val="clear" w:color="auto" w:fill="1F497D" w:themeFill="text2"/>
          </w:tcPr>
          <w:p w:rsidR="00714B52" w:rsidRPr="00340F9F" w:rsidRDefault="00714B52" w:rsidP="003A45F9">
            <w:pPr>
              <w:rPr>
                <w:b/>
                <w:color w:val="FFFFFF" w:themeColor="background1"/>
                <w:sz w:val="16"/>
                <w:szCs w:val="14"/>
              </w:rPr>
            </w:pPr>
            <w:r w:rsidRPr="00340F9F">
              <w:rPr>
                <w:b/>
                <w:color w:val="FFFFFF" w:themeColor="background1"/>
                <w:sz w:val="16"/>
                <w:szCs w:val="14"/>
              </w:rPr>
              <w:t>Definition displayed in survey</w:t>
            </w:r>
          </w:p>
        </w:tc>
        <w:tc>
          <w:tcPr>
            <w:tcW w:w="1615" w:type="pct"/>
            <w:shd w:val="clear" w:color="auto" w:fill="1F497D" w:themeFill="text2"/>
          </w:tcPr>
          <w:p w:rsidR="00714B52" w:rsidRDefault="00714B52" w:rsidP="003A45F9">
            <w:pPr>
              <w:rPr>
                <w:b/>
                <w:color w:val="FFFFFF" w:themeColor="background1"/>
                <w:sz w:val="16"/>
                <w:szCs w:val="14"/>
              </w:rPr>
            </w:pPr>
            <w:r w:rsidRPr="00340F9F">
              <w:rPr>
                <w:b/>
                <w:color w:val="FFFFFF" w:themeColor="background1"/>
                <w:sz w:val="16"/>
                <w:szCs w:val="14"/>
              </w:rPr>
              <w:t>Levels</w:t>
            </w:r>
          </w:p>
          <w:p w:rsidR="003A45F9" w:rsidRPr="00340F9F" w:rsidRDefault="003A45F9" w:rsidP="003A45F9">
            <w:pPr>
              <w:rPr>
                <w:b/>
                <w:color w:val="FFFFFF" w:themeColor="background1"/>
                <w:sz w:val="16"/>
                <w:szCs w:val="14"/>
              </w:rPr>
            </w:pPr>
          </w:p>
        </w:tc>
      </w:tr>
      <w:tr w:rsidR="00714B52" w:rsidRPr="00340F9F" w:rsidTr="00714B52">
        <w:tc>
          <w:tcPr>
            <w:tcW w:w="1537" w:type="pct"/>
          </w:tcPr>
          <w:p w:rsidR="00714B52" w:rsidRDefault="00714B52" w:rsidP="00714B52">
            <w:pPr>
              <w:rPr>
                <w:b/>
                <w:sz w:val="16"/>
                <w:szCs w:val="14"/>
              </w:rPr>
            </w:pPr>
          </w:p>
          <w:p w:rsidR="00714B52" w:rsidRDefault="00714B52" w:rsidP="00714B52">
            <w:pPr>
              <w:rPr>
                <w:b/>
                <w:sz w:val="16"/>
                <w:szCs w:val="14"/>
              </w:rPr>
            </w:pPr>
          </w:p>
          <w:p w:rsidR="00714B52" w:rsidRDefault="00714B52" w:rsidP="00714B52">
            <w:pPr>
              <w:rPr>
                <w:b/>
                <w:sz w:val="16"/>
                <w:szCs w:val="14"/>
              </w:rPr>
            </w:pPr>
          </w:p>
          <w:p w:rsidR="00714B52" w:rsidRPr="00340F9F" w:rsidRDefault="00714B52" w:rsidP="00714B52">
            <w:pPr>
              <w:rPr>
                <w:b/>
                <w:sz w:val="16"/>
                <w:szCs w:val="14"/>
              </w:rPr>
            </w:pPr>
            <w:r w:rsidRPr="00340F9F">
              <w:rPr>
                <w:b/>
                <w:sz w:val="16"/>
                <w:szCs w:val="14"/>
              </w:rPr>
              <w:t>Chance that the medicine will work</w:t>
            </w:r>
          </w:p>
        </w:tc>
        <w:tc>
          <w:tcPr>
            <w:tcW w:w="1848" w:type="pct"/>
          </w:tcPr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A disease may have many different forms and every individual affected by a disease is different from another individual affected by the same condition. As a result, a medicine that works for one individual may not work for another.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In this survey, we will describe three possible responses to a medicine: [</w:t>
            </w:r>
            <w:r w:rsidRPr="00340F9F">
              <w:rPr>
                <w:i/>
                <w:sz w:val="14"/>
                <w:szCs w:val="14"/>
              </w:rPr>
              <w:t>graphical representation of the three attribute levels</w:t>
            </w:r>
            <w:r w:rsidRPr="00340F9F">
              <w:rPr>
                <w:sz w:val="14"/>
                <w:szCs w:val="14"/>
              </w:rPr>
              <w:t>].</w:t>
            </w:r>
          </w:p>
          <w:p w:rsidR="00714B52" w:rsidRPr="00340F9F" w:rsidRDefault="00714B52" w:rsidP="00340F9F">
            <w:pPr>
              <w:rPr>
                <w:sz w:val="14"/>
                <w:szCs w:val="14"/>
              </w:rPr>
            </w:pPr>
          </w:p>
        </w:tc>
        <w:tc>
          <w:tcPr>
            <w:tcW w:w="1615" w:type="pct"/>
          </w:tcPr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very</w:t>
            </w:r>
            <w:proofErr w:type="gramEnd"/>
            <w:r w:rsidRPr="00340F9F">
              <w:rPr>
                <w:sz w:val="14"/>
                <w:szCs w:val="14"/>
              </w:rPr>
              <w:t xml:space="preserve"> good chance (80%)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moderate</w:t>
            </w:r>
            <w:proofErr w:type="gramEnd"/>
            <w:r w:rsidRPr="00340F9F">
              <w:rPr>
                <w:sz w:val="14"/>
                <w:szCs w:val="14"/>
              </w:rPr>
              <w:t xml:space="preserve"> chance (45%)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small</w:t>
            </w:r>
            <w:proofErr w:type="gramEnd"/>
            <w:r w:rsidRPr="00340F9F">
              <w:rPr>
                <w:sz w:val="14"/>
                <w:szCs w:val="14"/>
              </w:rPr>
              <w:t xml:space="preserve"> chance (10%)</w:t>
            </w:r>
          </w:p>
        </w:tc>
      </w:tr>
      <w:tr w:rsidR="00714B52" w:rsidRPr="00340F9F" w:rsidTr="00714B52">
        <w:tc>
          <w:tcPr>
            <w:tcW w:w="1537" w:type="pct"/>
          </w:tcPr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  <w:r w:rsidRPr="00714B52">
              <w:rPr>
                <w:b/>
                <w:sz w:val="16"/>
                <w:szCs w:val="14"/>
              </w:rPr>
              <w:t>Expected health improvement</w:t>
            </w:r>
            <w:r w:rsidRPr="00340F9F">
              <w:rPr>
                <w:b/>
                <w:sz w:val="16"/>
                <w:szCs w:val="14"/>
              </w:rPr>
              <w:t xml:space="preserve"> </w:t>
            </w: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Pr="00340F9F" w:rsidRDefault="00714B52" w:rsidP="00340F9F">
            <w:pPr>
              <w:rPr>
                <w:sz w:val="16"/>
                <w:szCs w:val="14"/>
              </w:rPr>
            </w:pPr>
            <w:r w:rsidRPr="00340F9F">
              <w:rPr>
                <w:sz w:val="16"/>
                <w:szCs w:val="14"/>
              </w:rPr>
              <w:t>(abbreviated in survey as:  ‘How the medicine will improve health’)</w:t>
            </w:r>
          </w:p>
        </w:tc>
        <w:tc>
          <w:tcPr>
            <w:tcW w:w="1848" w:type="pct"/>
          </w:tcPr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A medicine may have a strong, medium or moderate impact on a disease. For instance: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jc w:val="both"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a</w:t>
            </w:r>
            <w:proofErr w:type="gramEnd"/>
            <w:r w:rsidRPr="00340F9F">
              <w:rPr>
                <w:sz w:val="14"/>
                <w:szCs w:val="14"/>
              </w:rPr>
              <w:t xml:space="preserve"> medicine may clear a disease from an individual’s body; or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jc w:val="both"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a</w:t>
            </w:r>
            <w:proofErr w:type="gramEnd"/>
            <w:r w:rsidRPr="00340F9F">
              <w:rPr>
                <w:sz w:val="14"/>
                <w:szCs w:val="14"/>
              </w:rPr>
              <w:t xml:space="preserve"> medicine may aim to reduce the level of symptoms induced by a disease (e.g. pain); or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jc w:val="both"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a</w:t>
            </w:r>
            <w:proofErr w:type="gramEnd"/>
            <w:r w:rsidRPr="00340F9F">
              <w:rPr>
                <w:sz w:val="14"/>
                <w:szCs w:val="14"/>
              </w:rPr>
              <w:t xml:space="preserve"> medicine may help patients’ health not to deteriorate as fast as initially predicted (in the absence of treatment) (e.g. a treated patient will not need a transplant anymore; or time to wheelchair is postponed by 5 years).</w:t>
            </w:r>
          </w:p>
          <w:p w:rsidR="00714B52" w:rsidRPr="00340F9F" w:rsidRDefault="00714B52" w:rsidP="00340F9F">
            <w:pPr>
              <w:ind w:left="144"/>
              <w:contextualSpacing/>
              <w:jc w:val="both"/>
              <w:rPr>
                <w:sz w:val="14"/>
                <w:szCs w:val="14"/>
              </w:rPr>
            </w:pP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In this survey, we will describe three possible levels of health improvement: [</w:t>
            </w:r>
            <w:r w:rsidRPr="00340F9F">
              <w:rPr>
                <w:i/>
                <w:sz w:val="14"/>
                <w:szCs w:val="14"/>
              </w:rPr>
              <w:t>graphical representation of the three attribute levels</w:t>
            </w:r>
            <w:r w:rsidRPr="00340F9F">
              <w:rPr>
                <w:sz w:val="14"/>
                <w:szCs w:val="14"/>
              </w:rPr>
              <w:t>].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15" w:type="pct"/>
          </w:tcPr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 xml:space="preserve">the treated patient will live disease-free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the treated patient will see improvements in symptoms &amp; functioning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the treated patient will not get worse</w:t>
            </w:r>
          </w:p>
        </w:tc>
      </w:tr>
      <w:tr w:rsidR="00714B52" w:rsidRPr="00340F9F" w:rsidTr="00714B52">
        <w:tc>
          <w:tcPr>
            <w:tcW w:w="1537" w:type="pct"/>
          </w:tcPr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  <w:r w:rsidRPr="00340F9F">
              <w:rPr>
                <w:b/>
                <w:sz w:val="16"/>
                <w:szCs w:val="14"/>
              </w:rPr>
              <w:t>Risk of experiencing moderate side effects, affecting quality of life (e.g. pain)</w:t>
            </w: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Pr="00714B52" w:rsidRDefault="00714B52" w:rsidP="00340F9F">
            <w:pPr>
              <w:rPr>
                <w:sz w:val="16"/>
                <w:szCs w:val="14"/>
              </w:rPr>
            </w:pPr>
            <w:r w:rsidRPr="00714B52">
              <w:rPr>
                <w:sz w:val="16"/>
                <w:szCs w:val="14"/>
              </w:rPr>
              <w:t>(abbreviated in survey as:  ‘Risk of moderate side effects’)</w:t>
            </w: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</w:p>
        </w:tc>
        <w:tc>
          <w:tcPr>
            <w:tcW w:w="1848" w:type="pct"/>
            <w:vMerge w:val="restart"/>
          </w:tcPr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Side effects are unwanted symptoms caused by a medicine. Sides effects may be: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"mild", and temporary (e.g. nausea)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"</w:t>
            </w:r>
            <w:proofErr w:type="gramStart"/>
            <w:r w:rsidRPr="00340F9F">
              <w:rPr>
                <w:sz w:val="14"/>
                <w:szCs w:val="14"/>
              </w:rPr>
              <w:t>moderate</w:t>
            </w:r>
            <w:proofErr w:type="gramEnd"/>
            <w:r w:rsidRPr="00340F9F">
              <w:rPr>
                <w:sz w:val="14"/>
                <w:szCs w:val="14"/>
              </w:rPr>
              <w:t>", and affecting quality of life (e.g. pain); or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"</w:t>
            </w:r>
            <w:proofErr w:type="gramStart"/>
            <w:r w:rsidRPr="00340F9F">
              <w:rPr>
                <w:sz w:val="14"/>
                <w:szCs w:val="14"/>
              </w:rPr>
              <w:t>serious</w:t>
            </w:r>
            <w:proofErr w:type="gramEnd"/>
            <w:r w:rsidRPr="00340F9F">
              <w:rPr>
                <w:sz w:val="14"/>
                <w:szCs w:val="14"/>
              </w:rPr>
              <w:t>", that may have life threatening consequences (e.g. heart failure).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The risk of getting side effects varies from individual to individual. Every patient meeting his/her treating physician is usually informed about the benefits of a treatment and warned against its possible risk of side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effects</w:t>
            </w:r>
            <w:proofErr w:type="gramEnd"/>
            <w:r w:rsidRPr="00340F9F">
              <w:rPr>
                <w:sz w:val="14"/>
                <w:szCs w:val="14"/>
              </w:rPr>
              <w:t xml:space="preserve">. In this survey, we will ask you to think about new medicines with different risks of getting "moderate" or "serious" side effects. 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[</w:t>
            </w:r>
            <w:r w:rsidRPr="00340F9F">
              <w:rPr>
                <w:i/>
                <w:sz w:val="14"/>
                <w:szCs w:val="14"/>
              </w:rPr>
              <w:t>graphical representation of all attribute levels</w:t>
            </w:r>
            <w:r w:rsidRPr="00340F9F">
              <w:rPr>
                <w:sz w:val="14"/>
                <w:szCs w:val="14"/>
              </w:rPr>
              <w:t>]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The following pictures may help you think about this risk. Each person in the boxes below represents one person who takes a medicine. There are 100 people in each box. The people marked by colour will experience side effects. The people shaded grey will not.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15" w:type="pct"/>
          </w:tcPr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small</w:t>
            </w:r>
            <w:proofErr w:type="gramEnd"/>
            <w:r w:rsidRPr="00340F9F">
              <w:rPr>
                <w:sz w:val="14"/>
                <w:szCs w:val="14"/>
              </w:rPr>
              <w:t xml:space="preserve"> risk (10%)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high</w:t>
            </w:r>
            <w:proofErr w:type="gramEnd"/>
            <w:r w:rsidRPr="00340F9F">
              <w:rPr>
                <w:sz w:val="14"/>
                <w:szCs w:val="14"/>
              </w:rPr>
              <w:t xml:space="preserve"> risk (30%)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very</w:t>
            </w:r>
            <w:proofErr w:type="gramEnd"/>
            <w:r w:rsidRPr="00340F9F">
              <w:rPr>
                <w:sz w:val="14"/>
                <w:szCs w:val="14"/>
              </w:rPr>
              <w:t xml:space="preserve"> high risk (80%)</w:t>
            </w:r>
          </w:p>
          <w:p w:rsidR="00714B52" w:rsidRPr="00340F9F" w:rsidRDefault="00714B52" w:rsidP="00340F9F">
            <w:pPr>
              <w:ind w:left="144"/>
              <w:contextualSpacing/>
              <w:rPr>
                <w:sz w:val="14"/>
                <w:szCs w:val="14"/>
              </w:rPr>
            </w:pPr>
          </w:p>
        </w:tc>
      </w:tr>
      <w:tr w:rsidR="00714B52" w:rsidRPr="00340F9F" w:rsidTr="00714B52">
        <w:tc>
          <w:tcPr>
            <w:tcW w:w="1537" w:type="pct"/>
          </w:tcPr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  <w:r w:rsidRPr="00340F9F">
              <w:rPr>
                <w:b/>
                <w:sz w:val="16"/>
                <w:szCs w:val="14"/>
              </w:rPr>
              <w:t>Additional risk of getting serious side effects, leading to life-threatening consequences (e.g. heart failure)</w:t>
            </w: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Pr="00714B52" w:rsidRDefault="00714B52" w:rsidP="00714B52">
            <w:pPr>
              <w:rPr>
                <w:sz w:val="16"/>
                <w:szCs w:val="14"/>
              </w:rPr>
            </w:pPr>
            <w:r w:rsidRPr="00714B52">
              <w:rPr>
                <w:sz w:val="16"/>
                <w:szCs w:val="14"/>
              </w:rPr>
              <w:t xml:space="preserve">(abbreviated in survey as:  ‘Risk of </w:t>
            </w:r>
            <w:r>
              <w:rPr>
                <w:sz w:val="16"/>
                <w:szCs w:val="14"/>
              </w:rPr>
              <w:t xml:space="preserve"> serious </w:t>
            </w:r>
            <w:r w:rsidRPr="00714B52">
              <w:rPr>
                <w:sz w:val="16"/>
                <w:szCs w:val="14"/>
              </w:rPr>
              <w:t xml:space="preserve"> side effects’)</w:t>
            </w: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</w:p>
        </w:tc>
        <w:tc>
          <w:tcPr>
            <w:tcW w:w="1848" w:type="pct"/>
            <w:vMerge/>
          </w:tcPr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15" w:type="pct"/>
          </w:tcPr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very</w:t>
            </w:r>
            <w:proofErr w:type="gramEnd"/>
            <w:r w:rsidRPr="00340F9F">
              <w:rPr>
                <w:sz w:val="14"/>
                <w:szCs w:val="14"/>
              </w:rPr>
              <w:t xml:space="preserve"> small risk (1%)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moderate</w:t>
            </w:r>
            <w:proofErr w:type="gramEnd"/>
            <w:r w:rsidRPr="00340F9F">
              <w:rPr>
                <w:sz w:val="14"/>
                <w:szCs w:val="14"/>
              </w:rPr>
              <w:t xml:space="preserve"> risk (15%)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proofErr w:type="gramStart"/>
            <w:r w:rsidRPr="00340F9F">
              <w:rPr>
                <w:sz w:val="14"/>
                <w:szCs w:val="14"/>
              </w:rPr>
              <w:t>high</w:t>
            </w:r>
            <w:proofErr w:type="gramEnd"/>
            <w:r w:rsidRPr="00340F9F">
              <w:rPr>
                <w:sz w:val="14"/>
                <w:szCs w:val="14"/>
              </w:rPr>
              <w:t xml:space="preserve"> risk (30%)</w:t>
            </w:r>
          </w:p>
        </w:tc>
      </w:tr>
      <w:tr w:rsidR="00714B52" w:rsidRPr="00340F9F" w:rsidTr="00714B52">
        <w:tc>
          <w:tcPr>
            <w:tcW w:w="1537" w:type="pct"/>
          </w:tcPr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  <w:r w:rsidRPr="00340F9F">
              <w:rPr>
                <w:b/>
                <w:sz w:val="16"/>
                <w:szCs w:val="14"/>
              </w:rPr>
              <w:t>Treatment duration</w:t>
            </w: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</w:p>
        </w:tc>
        <w:tc>
          <w:tcPr>
            <w:tcW w:w="1848" w:type="pct"/>
            <w:vMerge w:val="restart"/>
          </w:tcPr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 xml:space="preserve">A treatment may take place at home, or during a hospital stay. It may be more or less </w:t>
            </w:r>
            <w:proofErr w:type="gramStart"/>
            <w:r w:rsidRPr="00340F9F">
              <w:rPr>
                <w:sz w:val="14"/>
                <w:szCs w:val="14"/>
              </w:rPr>
              <w:t>burdensome,</w:t>
            </w:r>
            <w:proofErr w:type="gramEnd"/>
            <w:r w:rsidRPr="00340F9F">
              <w:rPr>
                <w:sz w:val="14"/>
                <w:szCs w:val="14"/>
              </w:rPr>
              <w:t xml:space="preserve"> depending on 'how', 'where' and 'how often' treatment is delivered.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A treatment may negatively impact on patients’ (or caregivers’) ability to conduct usual activities, or not.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Overall treatment duration may be brief or lifelong.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In this survey, across various scenarios, we will ask you to think about treatment burden, treatment duration, and ability to conduct usual activities.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[</w:t>
            </w:r>
            <w:r w:rsidRPr="00340F9F">
              <w:rPr>
                <w:i/>
                <w:sz w:val="14"/>
                <w:szCs w:val="14"/>
              </w:rPr>
              <w:t>graphical representation of all attribute levels</w:t>
            </w:r>
            <w:r w:rsidRPr="00340F9F">
              <w:rPr>
                <w:sz w:val="14"/>
                <w:szCs w:val="14"/>
              </w:rPr>
              <w:t>]</w:t>
            </w:r>
          </w:p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15" w:type="pct"/>
          </w:tcPr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Six months or less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Between 12 and 24 months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Your whole life</w:t>
            </w:r>
          </w:p>
          <w:p w:rsidR="00714B52" w:rsidRPr="00340F9F" w:rsidRDefault="00714B52" w:rsidP="00340F9F">
            <w:pPr>
              <w:ind w:left="144"/>
              <w:contextualSpacing/>
              <w:rPr>
                <w:sz w:val="14"/>
                <w:szCs w:val="14"/>
              </w:rPr>
            </w:pPr>
          </w:p>
        </w:tc>
      </w:tr>
      <w:tr w:rsidR="00714B52" w:rsidRPr="00340F9F" w:rsidTr="00714B52">
        <w:tc>
          <w:tcPr>
            <w:tcW w:w="1537" w:type="pct"/>
          </w:tcPr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Default="00714B52" w:rsidP="00340F9F">
            <w:pPr>
              <w:rPr>
                <w:b/>
                <w:sz w:val="16"/>
                <w:szCs w:val="14"/>
              </w:rPr>
            </w:pPr>
            <w:r w:rsidRPr="00340F9F">
              <w:rPr>
                <w:b/>
                <w:sz w:val="16"/>
                <w:szCs w:val="14"/>
              </w:rPr>
              <w:t>Burden of treatment</w:t>
            </w: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Pr="00340F9F" w:rsidRDefault="00714B52" w:rsidP="00340F9F">
            <w:pPr>
              <w:rPr>
                <w:sz w:val="16"/>
                <w:szCs w:val="14"/>
              </w:rPr>
            </w:pPr>
            <w:r w:rsidRPr="00340F9F">
              <w:rPr>
                <w:sz w:val="16"/>
                <w:szCs w:val="14"/>
              </w:rPr>
              <w:t>(abbreviated in survey as:  ‘How to take the medicine’)</w:t>
            </w: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</w:p>
        </w:tc>
        <w:tc>
          <w:tcPr>
            <w:tcW w:w="1848" w:type="pct"/>
            <w:vMerge/>
          </w:tcPr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15" w:type="pct"/>
          </w:tcPr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 xml:space="preserve">at home every day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 xml:space="preserve">during a same-day hospital visit every week 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during a hospital stay of one week per month</w:t>
            </w:r>
          </w:p>
        </w:tc>
      </w:tr>
      <w:tr w:rsidR="00714B52" w:rsidRPr="00340F9F" w:rsidTr="00714B52">
        <w:tc>
          <w:tcPr>
            <w:tcW w:w="1537" w:type="pct"/>
          </w:tcPr>
          <w:p w:rsidR="00714B52" w:rsidRDefault="00714B52" w:rsidP="00340F9F">
            <w:pPr>
              <w:rPr>
                <w:b/>
                <w:sz w:val="16"/>
                <w:szCs w:val="14"/>
              </w:rPr>
            </w:pP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A</w:t>
            </w:r>
            <w:r w:rsidRPr="00340F9F">
              <w:rPr>
                <w:b/>
                <w:sz w:val="16"/>
                <w:szCs w:val="14"/>
              </w:rPr>
              <w:t>bility to conduct usual activities while on treatment</w:t>
            </w:r>
          </w:p>
          <w:p w:rsidR="00714B52" w:rsidRPr="00340F9F" w:rsidRDefault="00714B52" w:rsidP="00340F9F">
            <w:pPr>
              <w:rPr>
                <w:b/>
                <w:sz w:val="16"/>
                <w:szCs w:val="14"/>
              </w:rPr>
            </w:pPr>
          </w:p>
        </w:tc>
        <w:tc>
          <w:tcPr>
            <w:tcW w:w="1848" w:type="pct"/>
            <w:vMerge/>
          </w:tcPr>
          <w:p w:rsidR="00714B52" w:rsidRPr="00340F9F" w:rsidRDefault="00714B52" w:rsidP="00340F9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615" w:type="pct"/>
          </w:tcPr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no problem with performing usual activities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some problems with performing usual activities</w:t>
            </w:r>
          </w:p>
          <w:p w:rsidR="00714B52" w:rsidRPr="00340F9F" w:rsidRDefault="00714B52" w:rsidP="00340F9F">
            <w:pPr>
              <w:numPr>
                <w:ilvl w:val="0"/>
                <w:numId w:val="1"/>
              </w:numPr>
              <w:ind w:left="144" w:hanging="144"/>
              <w:contextualSpacing/>
              <w:rPr>
                <w:sz w:val="14"/>
                <w:szCs w:val="14"/>
              </w:rPr>
            </w:pPr>
            <w:r w:rsidRPr="00340F9F">
              <w:rPr>
                <w:sz w:val="14"/>
                <w:szCs w:val="14"/>
              </w:rPr>
              <w:t>unable to perform usual activities</w:t>
            </w:r>
          </w:p>
        </w:tc>
      </w:tr>
    </w:tbl>
    <w:p w:rsidR="00340F9F" w:rsidRDefault="00340F9F" w:rsidP="00340F9F">
      <w:pPr>
        <w:jc w:val="both"/>
        <w:rPr>
          <w:lang w:val="en-CA"/>
        </w:rPr>
      </w:pPr>
    </w:p>
    <w:p w:rsidR="00340F9F" w:rsidRDefault="00340F9F" w:rsidP="00340F9F">
      <w:pPr>
        <w:jc w:val="both"/>
        <w:rPr>
          <w:lang w:val="en-CA"/>
        </w:rPr>
      </w:pPr>
    </w:p>
    <w:p w:rsidR="00101F91" w:rsidRPr="00D0729C" w:rsidRDefault="00101F91" w:rsidP="00923E6C">
      <w:pPr>
        <w:rPr>
          <w:lang w:val="en-CA"/>
        </w:rPr>
      </w:pPr>
    </w:p>
    <w:sectPr w:rsidR="00101F91" w:rsidRPr="00D0729C" w:rsidSect="00C6725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E3B" w:rsidRDefault="00AA7E3B" w:rsidP="00340F9F">
      <w:r>
        <w:separator/>
      </w:r>
    </w:p>
  </w:endnote>
  <w:endnote w:type="continuationSeparator" w:id="0">
    <w:p w:rsidR="00AA7E3B" w:rsidRDefault="00AA7E3B" w:rsidP="0034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91671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0CE1" w:rsidRDefault="00C67254">
        <w:pPr>
          <w:pStyle w:val="Footer"/>
          <w:jc w:val="right"/>
        </w:pPr>
        <w:r>
          <w:fldChar w:fldCharType="begin"/>
        </w:r>
        <w:r w:rsidR="00250CE1">
          <w:instrText xml:space="preserve"> PAGE   \* MERGEFORMAT </w:instrText>
        </w:r>
        <w:r>
          <w:fldChar w:fldCharType="separate"/>
        </w:r>
        <w:r w:rsidR="00FC39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0CE1" w:rsidRDefault="00250C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E3B" w:rsidRDefault="00AA7E3B" w:rsidP="00340F9F">
      <w:r>
        <w:separator/>
      </w:r>
    </w:p>
  </w:footnote>
  <w:footnote w:type="continuationSeparator" w:id="0">
    <w:p w:rsidR="00AA7E3B" w:rsidRDefault="00AA7E3B" w:rsidP="00340F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3444B"/>
    <w:multiLevelType w:val="hybridMultilevel"/>
    <w:tmpl w:val="60D07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55859"/>
    <w:multiLevelType w:val="hybridMultilevel"/>
    <w:tmpl w:val="1514F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BioMed Central&lt;/Style&gt;&lt;LeftDelim&gt;{&lt;/LeftDelim&gt;&lt;RightDelim&gt;}&lt;/RightDelim&gt;&lt;FontName&gt;Calibri&lt;/FontName&gt;&lt;FontSize&gt;10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d dce references&lt;/item&gt;&lt;/Libraries&gt;&lt;/ENLibraries&gt;"/>
  </w:docVars>
  <w:rsids>
    <w:rsidRoot w:val="00340F9F"/>
    <w:rsid w:val="0007537C"/>
    <w:rsid w:val="00101F91"/>
    <w:rsid w:val="001059A4"/>
    <w:rsid w:val="0011505C"/>
    <w:rsid w:val="00144D0D"/>
    <w:rsid w:val="001E6639"/>
    <w:rsid w:val="001F20F2"/>
    <w:rsid w:val="001F2BF9"/>
    <w:rsid w:val="00201E9D"/>
    <w:rsid w:val="00250CE1"/>
    <w:rsid w:val="002F3814"/>
    <w:rsid w:val="003242C0"/>
    <w:rsid w:val="00340F9F"/>
    <w:rsid w:val="003A213E"/>
    <w:rsid w:val="003A45F9"/>
    <w:rsid w:val="003B7D76"/>
    <w:rsid w:val="003C5E8B"/>
    <w:rsid w:val="003E080F"/>
    <w:rsid w:val="00410948"/>
    <w:rsid w:val="00437BBD"/>
    <w:rsid w:val="00457809"/>
    <w:rsid w:val="004758CF"/>
    <w:rsid w:val="00485C8B"/>
    <w:rsid w:val="004C355D"/>
    <w:rsid w:val="004F48CF"/>
    <w:rsid w:val="005846EA"/>
    <w:rsid w:val="00615BFF"/>
    <w:rsid w:val="006312D4"/>
    <w:rsid w:val="006471F7"/>
    <w:rsid w:val="00714B52"/>
    <w:rsid w:val="007545A3"/>
    <w:rsid w:val="0079206F"/>
    <w:rsid w:val="007A1272"/>
    <w:rsid w:val="0081353A"/>
    <w:rsid w:val="00817DC9"/>
    <w:rsid w:val="0085479D"/>
    <w:rsid w:val="008665D6"/>
    <w:rsid w:val="008946BA"/>
    <w:rsid w:val="008E0729"/>
    <w:rsid w:val="0090131B"/>
    <w:rsid w:val="00923E6C"/>
    <w:rsid w:val="00993152"/>
    <w:rsid w:val="009B758C"/>
    <w:rsid w:val="00A47834"/>
    <w:rsid w:val="00AA7E3B"/>
    <w:rsid w:val="00B02F72"/>
    <w:rsid w:val="00B21480"/>
    <w:rsid w:val="00B7724D"/>
    <w:rsid w:val="00B853E2"/>
    <w:rsid w:val="00C67254"/>
    <w:rsid w:val="00D0729C"/>
    <w:rsid w:val="00DF27D8"/>
    <w:rsid w:val="00E42054"/>
    <w:rsid w:val="00E64977"/>
    <w:rsid w:val="00E70D31"/>
    <w:rsid w:val="00E95A25"/>
    <w:rsid w:val="00E9615A"/>
    <w:rsid w:val="00F42018"/>
    <w:rsid w:val="00F45BCB"/>
    <w:rsid w:val="00F50B87"/>
    <w:rsid w:val="00F64D8C"/>
    <w:rsid w:val="00FB3A9B"/>
    <w:rsid w:val="00FC28F4"/>
    <w:rsid w:val="00FC3941"/>
    <w:rsid w:val="00FF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Straight Arrow Connector 50"/>
        <o:r id="V:Rule2" type="connector" idref="#Straight Arrow Connector 47"/>
        <o:r id="V:Rule3" type="connector" idref="#Straight Arrow Connector 51"/>
        <o:r id="V:Rule4" type="connector" idref="#Straight Arrow Connector 48"/>
        <o:r id="V:Rule5" type="connector" idref="#Straight Arrow Connector 52"/>
        <o:r id="V:Rule6" type="connector" idref="#Straight Arrow Connector 53"/>
        <o:r id="V:Rule7" type="connector" idref="#Straight Arrow Connector 54"/>
        <o:r id="V:Rule8" type="connector" idref="#Straight Arrow Connector 55"/>
        <o:r id="V:Rule9" type="connector" idref="#Straight Arrow Connector 49"/>
        <o:r id="V:Rule10" type="connector" idref="#Straight Arrow Connector 56"/>
        <o:r id="V:Rule11" type="connector" idref="#Straight Arrow Connector 5"/>
        <o:r id="V:Rule12" type="connector" idref="#Straight Arrow Connector 4"/>
        <o:r id="V:Rule13" type="connector" idref="#Elbow Connector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B52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9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9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8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40F9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F9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0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4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0F9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9F"/>
    <w:rPr>
      <w:rFonts w:eastAsia="Times New Roman" w:cs="Times New Roman"/>
      <w:color w:val="000000"/>
      <w:kern w:val="28"/>
      <w:szCs w:val="20"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9F"/>
    <w:rPr>
      <w:rFonts w:eastAsia="Times New Roman" w:cs="Times New Roman"/>
      <w:color w:val="000000"/>
      <w:kern w:val="28"/>
      <w:sz w:val="20"/>
      <w:szCs w:val="20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340F9F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729C"/>
    <w:pPr>
      <w:spacing w:after="200"/>
    </w:pPr>
    <w:rPr>
      <w:rFonts w:eastAsia="Times New Roman" w:cs="Times New Roman"/>
      <w:b/>
      <w:bCs/>
      <w:color w:val="1F497D" w:themeColor="text2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2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F91"/>
    <w:rPr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F91"/>
    <w:rPr>
      <w:sz w:val="20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F91"/>
    <w:pPr>
      <w:spacing w:before="480"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01F9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1F9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01F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0D3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809"/>
    <w:rPr>
      <w:rFonts w:asciiTheme="majorHAnsi" w:eastAsiaTheme="majorEastAsia" w:hAnsiTheme="majorHAnsi" w:cstheme="majorBidi"/>
      <w:b/>
      <w:bCs/>
      <w:color w:val="4F81BD" w:themeColor="accent1"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457809"/>
    <w:pPr>
      <w:spacing w:after="100"/>
      <w:ind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 Pharma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 Thomas</dc:creator>
  <cp:lastModifiedBy>lomandam</cp:lastModifiedBy>
  <cp:revision>2</cp:revision>
  <dcterms:created xsi:type="dcterms:W3CDTF">2016-05-07T08:03:00Z</dcterms:created>
  <dcterms:modified xsi:type="dcterms:W3CDTF">2016-05-07T08:03:00Z</dcterms:modified>
</cp:coreProperties>
</file>