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29" w:rsidRPr="00144D0D" w:rsidRDefault="008E0729" w:rsidP="0066190E">
      <w:bookmarkStart w:id="0" w:name="_Toc442445161"/>
      <w:r w:rsidRPr="00144D0D">
        <w:t>Appendix I – References</w:t>
      </w:r>
      <w:r w:rsidR="00144D0D" w:rsidRPr="00144D0D">
        <w:t xml:space="preserve"> used in supplementary material</w:t>
      </w:r>
      <w:bookmarkEnd w:id="0"/>
    </w:p>
    <w:p w:rsidR="00101F91" w:rsidRDefault="00101F91" w:rsidP="00D0729C">
      <w:pPr>
        <w:rPr>
          <w:lang w:val="en-CA"/>
        </w:rPr>
      </w:pPr>
    </w:p>
    <w:p w:rsidR="00923E6C" w:rsidRDefault="00923E6C" w:rsidP="00D0729C">
      <w:pPr>
        <w:rPr>
          <w:lang w:val="en-CA"/>
        </w:rPr>
      </w:pPr>
    </w:p>
    <w:p w:rsidR="00923E6C" w:rsidRDefault="00923E6C" w:rsidP="00D0729C">
      <w:pPr>
        <w:rPr>
          <w:lang w:val="en-CA"/>
        </w:rPr>
      </w:pPr>
    </w:p>
    <w:p w:rsidR="0090131B" w:rsidRPr="0090131B" w:rsidRDefault="00D414F5" w:rsidP="0090131B">
      <w:pPr>
        <w:jc w:val="center"/>
        <w:rPr>
          <w:rFonts w:ascii="Calibri" w:hAnsi="Calibri"/>
          <w:noProof/>
          <w:lang w:val="en-CA"/>
        </w:rPr>
      </w:pPr>
      <w:r w:rsidRPr="00923E6C">
        <w:rPr>
          <w:sz w:val="18"/>
          <w:lang w:val="en-CA"/>
        </w:rPr>
        <w:fldChar w:fldCharType="begin"/>
      </w:r>
      <w:r w:rsidR="00923E6C" w:rsidRPr="00923E6C">
        <w:rPr>
          <w:sz w:val="18"/>
          <w:lang w:val="en-CA"/>
        </w:rPr>
        <w:instrText xml:space="preserve"> ADDIN REFMGR.REFLIST </w:instrText>
      </w:r>
      <w:r w:rsidRPr="00923E6C">
        <w:rPr>
          <w:sz w:val="18"/>
          <w:lang w:val="en-CA"/>
        </w:rPr>
        <w:fldChar w:fldCharType="separate"/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1.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Andrews G, Kemp A, Sunderland M, von KM, Ustun TB: Normative data for the 12 item WHO Disability Assessment Schedule 2.0. </w:t>
      </w:r>
      <w:r w:rsidRPr="0090131B">
        <w:rPr>
          <w:rFonts w:ascii="Calibri" w:hAnsi="Calibri"/>
          <w:i/>
          <w:noProof/>
          <w:sz w:val="18"/>
          <w:lang w:val="en-CA"/>
        </w:rPr>
        <w:t>PLoS One</w:t>
      </w:r>
      <w:r w:rsidRPr="0090131B">
        <w:rPr>
          <w:rFonts w:ascii="Calibri" w:hAnsi="Calibri"/>
          <w:noProof/>
          <w:sz w:val="18"/>
          <w:lang w:val="en-CA"/>
        </w:rPr>
        <w:t xml:space="preserve"> 2009, 4: e8343.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2.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Kim JI, Long JD, Mills JA, Downing N, Williams JK, Paulsen JS: Performance of the 12-item WHODAS 2.0 in prodromal Huntington disease. </w:t>
      </w:r>
      <w:r w:rsidRPr="0090131B">
        <w:rPr>
          <w:rFonts w:ascii="Calibri" w:hAnsi="Calibri"/>
          <w:i/>
          <w:noProof/>
          <w:sz w:val="18"/>
          <w:lang w:val="en-CA"/>
        </w:rPr>
        <w:t>Eur J Hum Genet</w:t>
      </w:r>
      <w:r w:rsidRPr="0090131B">
        <w:rPr>
          <w:rFonts w:ascii="Calibri" w:hAnsi="Calibri"/>
          <w:noProof/>
          <w:sz w:val="18"/>
          <w:lang w:val="en-CA"/>
        </w:rPr>
        <w:t xml:space="preserve"> 2015, 23: 1584-1587.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3.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Carlozzi NE, Kratz AL, Downing NR, Goodnight S, Miner JA, Migliore N </w:t>
      </w:r>
      <w:r w:rsidRPr="0090131B">
        <w:rPr>
          <w:rFonts w:ascii="Calibri" w:hAnsi="Calibri"/>
          <w:i/>
          <w:noProof/>
          <w:sz w:val="18"/>
          <w:lang w:val="en-CA"/>
        </w:rPr>
        <w:t>et al</w:t>
      </w:r>
      <w:r w:rsidRPr="0090131B">
        <w:rPr>
          <w:rFonts w:ascii="Calibri" w:hAnsi="Calibri"/>
          <w:noProof/>
          <w:sz w:val="18"/>
          <w:lang w:val="en-CA"/>
        </w:rPr>
        <w:t xml:space="preserve">.: Validity of the 12-item World Health Organization Disability Assessment Schedule 2.0 (WHODAS 2.0) in individuals with Huntington disease (HD). </w:t>
      </w:r>
      <w:r w:rsidRPr="0090131B">
        <w:rPr>
          <w:rFonts w:ascii="Calibri" w:hAnsi="Calibri"/>
          <w:i/>
          <w:noProof/>
          <w:sz w:val="18"/>
          <w:lang w:val="en-CA"/>
        </w:rPr>
        <w:t>Qual Life Res</w:t>
      </w:r>
      <w:r w:rsidRPr="0090131B">
        <w:rPr>
          <w:rFonts w:ascii="Calibri" w:hAnsi="Calibri"/>
          <w:noProof/>
          <w:sz w:val="18"/>
          <w:lang w:val="en-CA"/>
        </w:rPr>
        <w:t xml:space="preserve"> 2015, 24: 1963-1971.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4.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Schlote A, Richter M, Wunderlich MT, Poppendick U, Moller C, Schwelm K </w:t>
      </w:r>
      <w:r w:rsidRPr="0090131B">
        <w:rPr>
          <w:rFonts w:ascii="Calibri" w:hAnsi="Calibri"/>
          <w:i/>
          <w:noProof/>
          <w:sz w:val="18"/>
          <w:lang w:val="en-CA"/>
        </w:rPr>
        <w:t>et al</w:t>
      </w:r>
      <w:r w:rsidRPr="0090131B">
        <w:rPr>
          <w:rFonts w:ascii="Calibri" w:hAnsi="Calibri"/>
          <w:noProof/>
          <w:sz w:val="18"/>
          <w:lang w:val="en-CA"/>
        </w:rPr>
        <w:t xml:space="preserve">.: WHODAS II with people after stroke and their relatives. </w:t>
      </w:r>
      <w:r w:rsidRPr="0090131B">
        <w:rPr>
          <w:rFonts w:ascii="Calibri" w:hAnsi="Calibri"/>
          <w:i/>
          <w:noProof/>
          <w:sz w:val="18"/>
          <w:lang w:val="en-CA"/>
        </w:rPr>
        <w:t>Disabil Rehabil</w:t>
      </w:r>
      <w:r w:rsidRPr="0090131B">
        <w:rPr>
          <w:rFonts w:ascii="Calibri" w:hAnsi="Calibri"/>
          <w:noProof/>
          <w:sz w:val="18"/>
          <w:lang w:val="en-CA"/>
        </w:rPr>
        <w:t xml:space="preserve"> 2009, 31: 855-864.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5.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Garin O, Ayuso-Mateos JL, Almansa J, Nieto M, Chatterji S, Vilagut G </w:t>
      </w:r>
      <w:r w:rsidRPr="0090131B">
        <w:rPr>
          <w:rFonts w:ascii="Calibri" w:hAnsi="Calibri"/>
          <w:i/>
          <w:noProof/>
          <w:sz w:val="18"/>
          <w:lang w:val="en-CA"/>
        </w:rPr>
        <w:t>et al</w:t>
      </w:r>
      <w:r w:rsidRPr="0090131B">
        <w:rPr>
          <w:rFonts w:ascii="Calibri" w:hAnsi="Calibri"/>
          <w:noProof/>
          <w:sz w:val="18"/>
          <w:lang w:val="en-CA"/>
        </w:rPr>
        <w:t xml:space="preserve">.: Validation of the "World Health Organization Disability Assessment Schedule, WHODAS-2" in patients with chronic diseases. </w:t>
      </w:r>
      <w:r w:rsidRPr="0090131B">
        <w:rPr>
          <w:rFonts w:ascii="Calibri" w:hAnsi="Calibri"/>
          <w:i/>
          <w:noProof/>
          <w:sz w:val="18"/>
          <w:lang w:val="en-CA"/>
        </w:rPr>
        <w:t>Health Qual Life Outcomes</w:t>
      </w:r>
      <w:r w:rsidRPr="0090131B">
        <w:rPr>
          <w:rFonts w:ascii="Calibri" w:hAnsi="Calibri"/>
          <w:noProof/>
          <w:sz w:val="18"/>
          <w:lang w:val="en-CA"/>
        </w:rPr>
        <w:t xml:space="preserve"> 2010, 8: 51.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6.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Bastiaens L, Galus J, Goodlin M: The 12 item W.H.O.D.A.S. as primary self report outcome measure in a correctional community treatment center for dually diagnosed patients. </w:t>
      </w:r>
      <w:r w:rsidRPr="0090131B">
        <w:rPr>
          <w:rFonts w:ascii="Calibri" w:hAnsi="Calibri"/>
          <w:i/>
          <w:noProof/>
          <w:sz w:val="18"/>
          <w:lang w:val="en-CA"/>
        </w:rPr>
        <w:t>Psychiatr Q</w:t>
      </w:r>
      <w:r w:rsidRPr="0090131B">
        <w:rPr>
          <w:rFonts w:ascii="Calibri" w:hAnsi="Calibri"/>
          <w:noProof/>
          <w:sz w:val="18"/>
          <w:lang w:val="en-CA"/>
        </w:rPr>
        <w:t xml:space="preserve"> 2015, 86: 219-224.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7.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Yu J, Goos P, Vandebroek M.: Efficient conjoint choice designs in the presence of respondent heterogeneity. </w:t>
      </w:r>
      <w:r w:rsidRPr="0090131B">
        <w:rPr>
          <w:rFonts w:ascii="Calibri" w:hAnsi="Calibri"/>
          <w:i/>
          <w:noProof/>
          <w:sz w:val="18"/>
          <w:lang w:val="en-CA"/>
        </w:rPr>
        <w:t>Marketing Science</w:t>
      </w:r>
      <w:r w:rsidRPr="0090131B">
        <w:rPr>
          <w:rFonts w:ascii="Calibri" w:hAnsi="Calibri"/>
          <w:noProof/>
          <w:sz w:val="18"/>
          <w:lang w:val="en-CA"/>
        </w:rPr>
        <w:t xml:space="preserve"> 2009, 28: 122-135.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8.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Yu J., Goos P, Vandebroek M.: Individually adapted sequential Bayesian conjoint-choice designs in the presence of consumer heterogeneity. </w:t>
      </w:r>
      <w:r w:rsidRPr="0090131B">
        <w:rPr>
          <w:rFonts w:ascii="Calibri" w:hAnsi="Calibri"/>
          <w:i/>
          <w:noProof/>
          <w:sz w:val="18"/>
          <w:lang w:val="en-CA"/>
        </w:rPr>
        <w:t>International Journal of Research in Marketing</w:t>
      </w:r>
      <w:r w:rsidRPr="0090131B">
        <w:rPr>
          <w:rFonts w:ascii="Calibri" w:hAnsi="Calibri"/>
          <w:noProof/>
          <w:sz w:val="18"/>
          <w:lang w:val="en-CA"/>
        </w:rPr>
        <w:t xml:space="preserve"> 2011, 28: 378-388.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9.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Yu J., Goos P, Vandebroek M.: A comparison of different Bayesian design criteria for setting up stated preference studies. </w:t>
      </w:r>
      <w:r w:rsidRPr="0090131B">
        <w:rPr>
          <w:rFonts w:ascii="Calibri" w:hAnsi="Calibri"/>
          <w:i/>
          <w:noProof/>
          <w:sz w:val="18"/>
          <w:lang w:val="en-CA"/>
        </w:rPr>
        <w:t>Transportation Research Part B</w:t>
      </w:r>
      <w:r w:rsidRPr="0090131B">
        <w:rPr>
          <w:rFonts w:ascii="Calibri" w:hAnsi="Calibri"/>
          <w:noProof/>
          <w:sz w:val="18"/>
          <w:lang w:val="en-CA"/>
        </w:rPr>
        <w:t xml:space="preserve"> 2012, 46: 789-807.</w:t>
      </w:r>
    </w:p>
    <w:p w:rsidR="0090131B" w:rsidRPr="0090131B" w:rsidRDefault="0090131B" w:rsidP="0090131B">
      <w:pPr>
        <w:tabs>
          <w:tab w:val="right" w:pos="360"/>
          <w:tab w:val="left" w:pos="540"/>
        </w:tabs>
        <w:spacing w:after="240"/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10.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Orme J: </w:t>
      </w:r>
      <w:r w:rsidRPr="0090131B">
        <w:rPr>
          <w:rFonts w:ascii="Calibri" w:hAnsi="Calibri"/>
          <w:i/>
          <w:noProof/>
          <w:sz w:val="18"/>
          <w:lang w:val="en-CA"/>
        </w:rPr>
        <w:t>Getting started with conjoint analysis: strategies for product design and pricing research</w:t>
      </w:r>
      <w:r w:rsidRPr="0090131B">
        <w:rPr>
          <w:rFonts w:ascii="Calibri" w:hAnsi="Calibri"/>
          <w:noProof/>
          <w:sz w:val="18"/>
          <w:lang w:val="en-CA"/>
        </w:rPr>
        <w:t>. Madison, USA: Research Publishers LLC; 2006.</w:t>
      </w:r>
    </w:p>
    <w:p w:rsidR="0090131B" w:rsidRPr="0090131B" w:rsidRDefault="0090131B" w:rsidP="0090131B">
      <w:pPr>
        <w:tabs>
          <w:tab w:val="right" w:pos="360"/>
          <w:tab w:val="left" w:pos="540"/>
        </w:tabs>
        <w:ind w:left="540" w:hanging="540"/>
        <w:jc w:val="both"/>
        <w:rPr>
          <w:rFonts w:ascii="Calibri" w:hAnsi="Calibri"/>
          <w:noProof/>
          <w:sz w:val="18"/>
          <w:lang w:val="en-CA"/>
        </w:rPr>
      </w:pPr>
      <w:r w:rsidRPr="0090131B">
        <w:rPr>
          <w:rFonts w:ascii="Calibri" w:hAnsi="Calibri"/>
          <w:noProof/>
          <w:sz w:val="18"/>
          <w:lang w:val="en-CA"/>
        </w:rPr>
        <w:tab/>
        <w:t xml:space="preserve">11. </w:t>
      </w:r>
      <w:r w:rsidRPr="0090131B">
        <w:rPr>
          <w:rFonts w:ascii="Calibri" w:hAnsi="Calibri"/>
          <w:noProof/>
          <w:sz w:val="18"/>
          <w:lang w:val="en-CA"/>
        </w:rPr>
        <w:tab/>
        <w:t xml:space="preserve">Bliemer MCJ, Rose JM: Construction of Experimental Designs for Mixed Logit Models Allowing for Correlation Across Choice Observations. </w:t>
      </w:r>
      <w:r w:rsidRPr="0090131B">
        <w:rPr>
          <w:rFonts w:ascii="Calibri" w:hAnsi="Calibri"/>
          <w:i/>
          <w:noProof/>
          <w:sz w:val="18"/>
          <w:lang w:val="en-CA"/>
        </w:rPr>
        <w:t>Transportation Research Part B</w:t>
      </w:r>
      <w:r w:rsidRPr="0090131B">
        <w:rPr>
          <w:rFonts w:ascii="Calibri" w:hAnsi="Calibri"/>
          <w:noProof/>
          <w:sz w:val="18"/>
          <w:lang w:val="en-CA"/>
        </w:rPr>
        <w:t xml:space="preserve"> 2010, 44: 720-734.</w:t>
      </w:r>
    </w:p>
    <w:p w:rsidR="0090131B" w:rsidRPr="0090131B" w:rsidRDefault="0090131B" w:rsidP="0090131B">
      <w:pPr>
        <w:tabs>
          <w:tab w:val="right" w:pos="360"/>
          <w:tab w:val="left" w:pos="540"/>
        </w:tabs>
        <w:ind w:left="540" w:hanging="540"/>
        <w:jc w:val="both"/>
        <w:rPr>
          <w:rFonts w:ascii="Calibri" w:hAnsi="Calibri"/>
          <w:noProof/>
          <w:sz w:val="18"/>
          <w:lang w:val="en-CA"/>
        </w:rPr>
      </w:pPr>
    </w:p>
    <w:p w:rsidR="00101F91" w:rsidRPr="00D0729C" w:rsidRDefault="00D414F5" w:rsidP="00923E6C">
      <w:pPr>
        <w:rPr>
          <w:lang w:val="en-CA"/>
        </w:rPr>
      </w:pPr>
      <w:r w:rsidRPr="00923E6C">
        <w:rPr>
          <w:sz w:val="18"/>
          <w:lang w:val="en-CA"/>
        </w:rPr>
        <w:fldChar w:fldCharType="end"/>
      </w:r>
    </w:p>
    <w:sectPr w:rsidR="00101F91" w:rsidRPr="00D0729C" w:rsidSect="00D414F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E3B" w:rsidRDefault="00AA7E3B" w:rsidP="00340F9F">
      <w:r>
        <w:separator/>
      </w:r>
    </w:p>
  </w:endnote>
  <w:endnote w:type="continuationSeparator" w:id="0">
    <w:p w:rsidR="00AA7E3B" w:rsidRDefault="00AA7E3B" w:rsidP="0034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91671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0CE1" w:rsidRDefault="00D414F5">
        <w:pPr>
          <w:pStyle w:val="Footer"/>
          <w:jc w:val="right"/>
        </w:pPr>
        <w:r>
          <w:fldChar w:fldCharType="begin"/>
        </w:r>
        <w:r w:rsidR="00250CE1">
          <w:instrText xml:space="preserve"> PAGE   \* MERGEFORMAT </w:instrText>
        </w:r>
        <w:r>
          <w:fldChar w:fldCharType="separate"/>
        </w:r>
        <w:r w:rsidR="006619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0CE1" w:rsidRDefault="00250C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E3B" w:rsidRDefault="00AA7E3B" w:rsidP="00340F9F">
      <w:r>
        <w:separator/>
      </w:r>
    </w:p>
  </w:footnote>
  <w:footnote w:type="continuationSeparator" w:id="0">
    <w:p w:rsidR="00AA7E3B" w:rsidRDefault="00AA7E3B" w:rsidP="00340F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444B"/>
    <w:multiLevelType w:val="hybridMultilevel"/>
    <w:tmpl w:val="60D07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5859"/>
    <w:multiLevelType w:val="hybridMultilevel"/>
    <w:tmpl w:val="1514F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ioMed Central&lt;/Style&gt;&lt;LeftDelim&gt;{&lt;/LeftDelim&gt;&lt;RightDelim&gt;}&lt;/RightDelim&gt;&lt;FontName&gt;Calibri&lt;/FontName&gt;&lt;FontSize&gt;10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d dce references&lt;/item&gt;&lt;/Libraries&gt;&lt;/ENLibraries&gt;"/>
  </w:docVars>
  <w:rsids>
    <w:rsidRoot w:val="00340F9F"/>
    <w:rsid w:val="0007537C"/>
    <w:rsid w:val="00101F91"/>
    <w:rsid w:val="001059A4"/>
    <w:rsid w:val="0011505C"/>
    <w:rsid w:val="00144D0D"/>
    <w:rsid w:val="001E6639"/>
    <w:rsid w:val="001F20F2"/>
    <w:rsid w:val="001F2BF9"/>
    <w:rsid w:val="00201E9D"/>
    <w:rsid w:val="00250CE1"/>
    <w:rsid w:val="002F3814"/>
    <w:rsid w:val="003242C0"/>
    <w:rsid w:val="00340F9F"/>
    <w:rsid w:val="003A213E"/>
    <w:rsid w:val="003A45F9"/>
    <w:rsid w:val="003B7D76"/>
    <w:rsid w:val="003C5E8B"/>
    <w:rsid w:val="003E080F"/>
    <w:rsid w:val="00410948"/>
    <w:rsid w:val="00437BBD"/>
    <w:rsid w:val="00457809"/>
    <w:rsid w:val="004758CF"/>
    <w:rsid w:val="00485C8B"/>
    <w:rsid w:val="004C355D"/>
    <w:rsid w:val="004F48CF"/>
    <w:rsid w:val="005846EA"/>
    <w:rsid w:val="00615BFF"/>
    <w:rsid w:val="006312D4"/>
    <w:rsid w:val="006471F7"/>
    <w:rsid w:val="0066190E"/>
    <w:rsid w:val="00714B52"/>
    <w:rsid w:val="007545A3"/>
    <w:rsid w:val="0079206F"/>
    <w:rsid w:val="007A1272"/>
    <w:rsid w:val="0081353A"/>
    <w:rsid w:val="00817DC9"/>
    <w:rsid w:val="0085479D"/>
    <w:rsid w:val="008665D6"/>
    <w:rsid w:val="008946BA"/>
    <w:rsid w:val="008E0729"/>
    <w:rsid w:val="0090131B"/>
    <w:rsid w:val="00923E6C"/>
    <w:rsid w:val="00993152"/>
    <w:rsid w:val="009B758C"/>
    <w:rsid w:val="00A47834"/>
    <w:rsid w:val="00AA7E3B"/>
    <w:rsid w:val="00B02F72"/>
    <w:rsid w:val="00B21480"/>
    <w:rsid w:val="00B7724D"/>
    <w:rsid w:val="00B853E2"/>
    <w:rsid w:val="00D0729C"/>
    <w:rsid w:val="00D414F5"/>
    <w:rsid w:val="00DF27D8"/>
    <w:rsid w:val="00E42054"/>
    <w:rsid w:val="00E64977"/>
    <w:rsid w:val="00E70D31"/>
    <w:rsid w:val="00E95A25"/>
    <w:rsid w:val="00E9615A"/>
    <w:rsid w:val="00F42018"/>
    <w:rsid w:val="00F45BCB"/>
    <w:rsid w:val="00F50B87"/>
    <w:rsid w:val="00F64D8C"/>
    <w:rsid w:val="00FB3A9B"/>
    <w:rsid w:val="00FC28F4"/>
    <w:rsid w:val="00FF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Straight Arrow Connector 50"/>
        <o:r id="V:Rule2" type="connector" idref="#Straight Arrow Connector 47"/>
        <o:r id="V:Rule3" type="connector" idref="#Straight Arrow Connector 51"/>
        <o:r id="V:Rule4" type="connector" idref="#Straight Arrow Connector 48"/>
        <o:r id="V:Rule5" type="connector" idref="#Straight Arrow Connector 52"/>
        <o:r id="V:Rule6" type="connector" idref="#Straight Arrow Connector 53"/>
        <o:r id="V:Rule7" type="connector" idref="#Straight Arrow Connector 54"/>
        <o:r id="V:Rule8" type="connector" idref="#Straight Arrow Connector 55"/>
        <o:r id="V:Rule9" type="connector" idref="#Straight Arrow Connector 49"/>
        <o:r id="V:Rule10" type="connector" idref="#Straight Arrow Connector 56"/>
        <o:r id="V:Rule11" type="connector" idref="#Straight Arrow Connector 5"/>
        <o:r id="V:Rule12" type="connector" idref="#Straight Arrow Connector 4"/>
        <o:r id="V:Rule13" type="connector" idref="#Elbow Connector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 Thomas</dc:creator>
  <cp:lastModifiedBy>lomandam</cp:lastModifiedBy>
  <cp:revision>2</cp:revision>
  <dcterms:created xsi:type="dcterms:W3CDTF">2016-05-07T08:16:00Z</dcterms:created>
  <dcterms:modified xsi:type="dcterms:W3CDTF">2016-05-07T08:16:00Z</dcterms:modified>
</cp:coreProperties>
</file>