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9BA" w:rsidRDefault="00DE19BA" w:rsidP="00DE19BA">
      <w:pPr>
        <w:suppressLineNumbers/>
        <w:contextualSpacing/>
        <w:outlineLvl w:val="0"/>
      </w:pPr>
      <w:r w:rsidRPr="00524627">
        <w:rPr>
          <w:b/>
        </w:rPr>
        <w:t xml:space="preserve">Table </w:t>
      </w:r>
      <w:r w:rsidR="00E206E0">
        <w:rPr>
          <w:b/>
        </w:rPr>
        <w:t>S</w:t>
      </w:r>
      <w:r w:rsidRPr="00524627">
        <w:rPr>
          <w:b/>
        </w:rPr>
        <w:t>1:</w:t>
      </w:r>
      <w:r>
        <w:t xml:space="preserve"> SCA29 Questionnaire</w:t>
      </w:r>
    </w:p>
    <w:p w:rsidR="00DE19BA" w:rsidRDefault="00DE19BA" w:rsidP="00DE19BA">
      <w:pPr>
        <w:suppressLineNumbers/>
        <w:contextualSpacing/>
      </w:pPr>
      <w:r>
        <w:rPr>
          <w:noProof/>
          <w:lang w:val="en-US"/>
        </w:rPr>
        <w:drawing>
          <wp:inline distT="0" distB="0" distL="0" distR="0">
            <wp:extent cx="5142230" cy="7432675"/>
            <wp:effectExtent l="0" t="0" r="0" b="95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743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B7B" w:rsidRDefault="00046B7B"/>
    <w:p w:rsidR="00955B15" w:rsidRDefault="00955B15">
      <w:pPr>
        <w:sectPr w:rsidR="00955B15" w:rsidSect="00955B15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page" w:tblpX="649" w:tblpY="2341"/>
        <w:tblW w:w="5677" w:type="pct"/>
        <w:tblLayout w:type="fixed"/>
        <w:tblLook w:val="04A0"/>
      </w:tblPr>
      <w:tblGrid>
        <w:gridCol w:w="1750"/>
        <w:gridCol w:w="1701"/>
        <w:gridCol w:w="1332"/>
        <w:gridCol w:w="1275"/>
        <w:gridCol w:w="1509"/>
        <w:gridCol w:w="3306"/>
        <w:gridCol w:w="1971"/>
        <w:gridCol w:w="1859"/>
        <w:gridCol w:w="257"/>
      </w:tblGrid>
      <w:tr w:rsidR="00955B15" w:rsidRPr="008821C5" w:rsidTr="00DB0C57">
        <w:trPr>
          <w:trHeight w:val="240"/>
        </w:trPr>
        <w:tc>
          <w:tcPr>
            <w:tcW w:w="1750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Variant</w:t>
            </w:r>
          </w:p>
        </w:tc>
        <w:tc>
          <w:tcPr>
            <w:tcW w:w="170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Inheritance</w:t>
            </w:r>
          </w:p>
        </w:tc>
        <w:tc>
          <w:tcPr>
            <w:tcW w:w="1332" w:type="dxa"/>
            <w:noWrap/>
            <w:hideMark/>
          </w:tcPr>
          <w:p w:rsidR="00955B15" w:rsidRPr="008821C5" w:rsidRDefault="00955B15" w:rsidP="00DB0C5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821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ExAC</w:t>
            </w:r>
            <w:proofErr w:type="spellEnd"/>
            <w:r w:rsidRPr="008821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Frequency</w:t>
            </w:r>
          </w:p>
        </w:tc>
        <w:tc>
          <w:tcPr>
            <w:tcW w:w="1275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In </w:t>
            </w:r>
            <w:proofErr w:type="spellStart"/>
            <w:r w:rsidRPr="008821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Silico</w:t>
            </w:r>
            <w:proofErr w:type="spellEnd"/>
            <w:r w:rsidRPr="008821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Prediction</w:t>
            </w:r>
            <w:r w:rsidRPr="004D17F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50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Conservation</w:t>
            </w:r>
          </w:p>
        </w:tc>
        <w:tc>
          <w:tcPr>
            <w:tcW w:w="3306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821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ClinVar</w:t>
            </w:r>
            <w:proofErr w:type="spellEnd"/>
          </w:p>
        </w:tc>
        <w:tc>
          <w:tcPr>
            <w:tcW w:w="197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References</w:t>
            </w:r>
          </w:p>
        </w:tc>
        <w:tc>
          <w:tcPr>
            <w:tcW w:w="185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ACMG Classification</w:t>
            </w:r>
            <w:r w:rsidRPr="00C253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57" w:type="dxa"/>
            <w:vMerge w:val="restart"/>
            <w:tcBorders>
              <w:top w:val="nil"/>
            </w:tcBorders>
          </w:tcPr>
          <w:p w:rsidR="00955B15" w:rsidRDefault="00955B15" w:rsidP="00DB0C5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55B15" w:rsidRPr="008821C5" w:rsidRDefault="00955B15" w:rsidP="00DB0C5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5B15" w:rsidRPr="008821C5" w:rsidTr="00DB0C57">
        <w:trPr>
          <w:trHeight w:val="240"/>
        </w:trPr>
        <w:tc>
          <w:tcPr>
            <w:tcW w:w="1750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p.</w:t>
            </w: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T267M</w:t>
            </w:r>
          </w:p>
        </w:tc>
        <w:tc>
          <w:tcPr>
            <w:tcW w:w="170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singleton; singleton</w:t>
            </w:r>
          </w:p>
        </w:tc>
        <w:tc>
          <w:tcPr>
            <w:tcW w:w="1332" w:type="dxa"/>
            <w:noWrap/>
            <w:hideMark/>
          </w:tcPr>
          <w:p w:rsidR="00955B15" w:rsidRPr="008821C5" w:rsidRDefault="00955B15" w:rsidP="00DB0C5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Deleterious</w:t>
            </w:r>
          </w:p>
        </w:tc>
        <w:tc>
          <w:tcPr>
            <w:tcW w:w="150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Highly Conserved</w:t>
            </w:r>
          </w:p>
        </w:tc>
        <w:tc>
          <w:tcPr>
            <w:tcW w:w="3306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Ambry Genetics; Likely Pathogenic (no date provided)</w:t>
            </w:r>
          </w:p>
        </w:tc>
        <w:tc>
          <w:tcPr>
            <w:tcW w:w="197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[4]</w:t>
            </w:r>
          </w:p>
        </w:tc>
        <w:tc>
          <w:tcPr>
            <w:tcW w:w="185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Likely Pathogenic</w:t>
            </w:r>
          </w:p>
        </w:tc>
        <w:tc>
          <w:tcPr>
            <w:tcW w:w="257" w:type="dxa"/>
            <w:vMerge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55B15" w:rsidRPr="008821C5" w:rsidTr="00DB0C57">
        <w:trPr>
          <w:trHeight w:val="240"/>
        </w:trPr>
        <w:tc>
          <w:tcPr>
            <w:tcW w:w="1750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p.</w:t>
            </w: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R269W</w:t>
            </w:r>
          </w:p>
        </w:tc>
        <w:tc>
          <w:tcPr>
            <w:tcW w:w="170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novo</w:t>
            </w:r>
          </w:p>
        </w:tc>
        <w:tc>
          <w:tcPr>
            <w:tcW w:w="1332" w:type="dxa"/>
            <w:noWrap/>
            <w:hideMark/>
          </w:tcPr>
          <w:p w:rsidR="00955B15" w:rsidRPr="008821C5" w:rsidRDefault="00955B15" w:rsidP="00DB0C5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Deleterious</w:t>
            </w:r>
          </w:p>
        </w:tc>
        <w:tc>
          <w:tcPr>
            <w:tcW w:w="150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Highly Conserved</w:t>
            </w:r>
          </w:p>
        </w:tc>
        <w:tc>
          <w:tcPr>
            <w:tcW w:w="3306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GeneDx</w:t>
            </w:r>
            <w:proofErr w:type="spellEnd"/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 Pathogenic (June 24, 2016)</w:t>
            </w:r>
          </w:p>
        </w:tc>
        <w:tc>
          <w:tcPr>
            <w:tcW w:w="197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[10]</w:t>
            </w:r>
          </w:p>
        </w:tc>
        <w:tc>
          <w:tcPr>
            <w:tcW w:w="185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Likely Pathogenic</w:t>
            </w:r>
          </w:p>
        </w:tc>
        <w:tc>
          <w:tcPr>
            <w:tcW w:w="257" w:type="dxa"/>
            <w:vMerge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55B15" w:rsidRPr="008821C5" w:rsidTr="00DB0C57">
        <w:trPr>
          <w:trHeight w:val="240"/>
        </w:trPr>
        <w:tc>
          <w:tcPr>
            <w:tcW w:w="1750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p.</w:t>
            </w: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R269G</w:t>
            </w:r>
          </w:p>
        </w:tc>
        <w:tc>
          <w:tcPr>
            <w:tcW w:w="170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novo</w:t>
            </w:r>
          </w:p>
        </w:tc>
        <w:tc>
          <w:tcPr>
            <w:tcW w:w="1332" w:type="dxa"/>
            <w:noWrap/>
            <w:hideMark/>
          </w:tcPr>
          <w:p w:rsidR="00955B15" w:rsidRPr="008821C5" w:rsidRDefault="00955B15" w:rsidP="00DB0C5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Deleterious</w:t>
            </w:r>
          </w:p>
        </w:tc>
        <w:tc>
          <w:tcPr>
            <w:tcW w:w="150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Highly Conserved</w:t>
            </w:r>
          </w:p>
        </w:tc>
        <w:tc>
          <w:tcPr>
            <w:tcW w:w="3306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7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Likely Pathogenic</w:t>
            </w:r>
          </w:p>
        </w:tc>
        <w:tc>
          <w:tcPr>
            <w:tcW w:w="257" w:type="dxa"/>
            <w:vMerge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55B15" w:rsidRPr="008821C5" w:rsidTr="00DB0C57">
        <w:trPr>
          <w:trHeight w:val="240"/>
        </w:trPr>
        <w:tc>
          <w:tcPr>
            <w:tcW w:w="1750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p.</w:t>
            </w: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S277I</w:t>
            </w:r>
          </w:p>
        </w:tc>
        <w:tc>
          <w:tcPr>
            <w:tcW w:w="170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novo</w:t>
            </w:r>
          </w:p>
        </w:tc>
        <w:tc>
          <w:tcPr>
            <w:tcW w:w="1332" w:type="dxa"/>
            <w:noWrap/>
            <w:hideMark/>
          </w:tcPr>
          <w:p w:rsidR="00955B15" w:rsidRPr="008821C5" w:rsidRDefault="00955B15" w:rsidP="00DB0C5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Deleterious</w:t>
            </w:r>
          </w:p>
        </w:tc>
        <w:tc>
          <w:tcPr>
            <w:tcW w:w="150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Highly Conserved</w:t>
            </w:r>
          </w:p>
        </w:tc>
        <w:tc>
          <w:tcPr>
            <w:tcW w:w="3306" w:type="dxa"/>
            <w:noWrap/>
            <w:hideMark/>
          </w:tcPr>
          <w:p w:rsidR="00955B1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UCLA Clinical Genomics Center; </w:t>
            </w:r>
          </w:p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Likely Pathogenic (October 1, 2013)</w:t>
            </w:r>
          </w:p>
        </w:tc>
        <w:tc>
          <w:tcPr>
            <w:tcW w:w="1971" w:type="dxa"/>
          </w:tcPr>
          <w:p w:rsidR="00955B1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[4,6]</w:t>
            </w:r>
          </w:p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Likely Pathogenic</w:t>
            </w:r>
          </w:p>
        </w:tc>
        <w:tc>
          <w:tcPr>
            <w:tcW w:w="257" w:type="dxa"/>
            <w:vMerge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55B15" w:rsidRPr="008821C5" w:rsidTr="00DB0C57">
        <w:trPr>
          <w:trHeight w:val="240"/>
        </w:trPr>
        <w:tc>
          <w:tcPr>
            <w:tcW w:w="1750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p.</w:t>
            </w: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K279E</w:t>
            </w:r>
          </w:p>
        </w:tc>
        <w:tc>
          <w:tcPr>
            <w:tcW w:w="170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novo</w:t>
            </w:r>
          </w:p>
        </w:tc>
        <w:tc>
          <w:tcPr>
            <w:tcW w:w="1332" w:type="dxa"/>
            <w:noWrap/>
            <w:hideMark/>
          </w:tcPr>
          <w:p w:rsidR="00955B15" w:rsidRPr="008821C5" w:rsidRDefault="00955B15" w:rsidP="00DB0C5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Deleterious</w:t>
            </w:r>
          </w:p>
        </w:tc>
        <w:tc>
          <w:tcPr>
            <w:tcW w:w="150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Highly Conserved</w:t>
            </w:r>
          </w:p>
        </w:tc>
        <w:tc>
          <w:tcPr>
            <w:tcW w:w="3306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7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Likely Pathogenic</w:t>
            </w:r>
          </w:p>
        </w:tc>
        <w:tc>
          <w:tcPr>
            <w:tcW w:w="257" w:type="dxa"/>
            <w:vMerge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55B15" w:rsidRPr="008821C5" w:rsidTr="00DB0C57">
        <w:trPr>
          <w:trHeight w:val="240"/>
        </w:trPr>
        <w:tc>
          <w:tcPr>
            <w:tcW w:w="1750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p.K417_K418ins</w:t>
            </w:r>
          </w:p>
        </w:tc>
        <w:tc>
          <w:tcPr>
            <w:tcW w:w="170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novo</w:t>
            </w:r>
          </w:p>
        </w:tc>
        <w:tc>
          <w:tcPr>
            <w:tcW w:w="1332" w:type="dxa"/>
            <w:noWrap/>
            <w:hideMark/>
          </w:tcPr>
          <w:p w:rsidR="00955B15" w:rsidRPr="008821C5" w:rsidRDefault="00955B15" w:rsidP="00DB0C5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Splice Impacting</w:t>
            </w:r>
          </w:p>
        </w:tc>
        <w:tc>
          <w:tcPr>
            <w:tcW w:w="150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Highly Conserved</w:t>
            </w:r>
          </w:p>
        </w:tc>
        <w:tc>
          <w:tcPr>
            <w:tcW w:w="3306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7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Functional studies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  <w:r w:rsidR="006F6299"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aberrant</w:t>
            </w:r>
            <w:bookmarkStart w:id="0" w:name="_GoBack"/>
            <w:bookmarkEnd w:id="0"/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transcript</w:t>
            </w:r>
          </w:p>
        </w:tc>
        <w:tc>
          <w:tcPr>
            <w:tcW w:w="185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Pathogenic</w:t>
            </w:r>
          </w:p>
        </w:tc>
        <w:tc>
          <w:tcPr>
            <w:tcW w:w="257" w:type="dxa"/>
            <w:vMerge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55B15" w:rsidRPr="008821C5" w:rsidTr="00DB0C57">
        <w:trPr>
          <w:trHeight w:val="240"/>
        </w:trPr>
        <w:tc>
          <w:tcPr>
            <w:tcW w:w="1750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p.</w:t>
            </w: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N602D</w:t>
            </w:r>
          </w:p>
        </w:tc>
        <w:tc>
          <w:tcPr>
            <w:tcW w:w="170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Inherited</w:t>
            </w:r>
          </w:p>
        </w:tc>
        <w:tc>
          <w:tcPr>
            <w:tcW w:w="1332" w:type="dxa"/>
            <w:noWrap/>
            <w:hideMark/>
          </w:tcPr>
          <w:p w:rsidR="00955B15" w:rsidRPr="008821C5" w:rsidRDefault="00955B15" w:rsidP="00DB0C5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Deleterious</w:t>
            </w:r>
          </w:p>
        </w:tc>
        <w:tc>
          <w:tcPr>
            <w:tcW w:w="150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Highly Conserved</w:t>
            </w:r>
          </w:p>
        </w:tc>
        <w:tc>
          <w:tcPr>
            <w:tcW w:w="3306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7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[3,5]</w:t>
            </w:r>
          </w:p>
        </w:tc>
        <w:tc>
          <w:tcPr>
            <w:tcW w:w="185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VUS</w:t>
            </w:r>
          </w:p>
        </w:tc>
        <w:tc>
          <w:tcPr>
            <w:tcW w:w="257" w:type="dxa"/>
            <w:vMerge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55B15" w:rsidRPr="008821C5" w:rsidTr="00DB0C57">
        <w:trPr>
          <w:trHeight w:val="240"/>
        </w:trPr>
        <w:tc>
          <w:tcPr>
            <w:tcW w:w="1750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p.</w:t>
            </w: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T1386M</w:t>
            </w:r>
          </w:p>
        </w:tc>
        <w:tc>
          <w:tcPr>
            <w:tcW w:w="170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novo</w:t>
            </w:r>
          </w:p>
        </w:tc>
        <w:tc>
          <w:tcPr>
            <w:tcW w:w="1332" w:type="dxa"/>
            <w:noWrap/>
            <w:hideMark/>
          </w:tcPr>
          <w:p w:rsidR="00955B15" w:rsidRPr="008821C5" w:rsidRDefault="00955B15" w:rsidP="00DB0C5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Deleterious</w:t>
            </w:r>
          </w:p>
        </w:tc>
        <w:tc>
          <w:tcPr>
            <w:tcW w:w="150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Highly Conserved</w:t>
            </w:r>
          </w:p>
        </w:tc>
        <w:tc>
          <w:tcPr>
            <w:tcW w:w="3306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7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Likely Pathogenic</w:t>
            </w:r>
          </w:p>
        </w:tc>
        <w:tc>
          <w:tcPr>
            <w:tcW w:w="257" w:type="dxa"/>
            <w:vMerge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55B15" w:rsidRPr="008821C5" w:rsidTr="00DB0C57">
        <w:trPr>
          <w:trHeight w:val="240"/>
        </w:trPr>
        <w:tc>
          <w:tcPr>
            <w:tcW w:w="1750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p.</w:t>
            </w: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V1553M</w:t>
            </w:r>
          </w:p>
        </w:tc>
        <w:tc>
          <w:tcPr>
            <w:tcW w:w="170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Inherited</w:t>
            </w:r>
          </w:p>
        </w:tc>
        <w:tc>
          <w:tcPr>
            <w:tcW w:w="1332" w:type="dxa"/>
            <w:noWrap/>
            <w:hideMark/>
          </w:tcPr>
          <w:p w:rsidR="00955B15" w:rsidRPr="008821C5" w:rsidRDefault="00955B15" w:rsidP="00DB0C5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Deleterious</w:t>
            </w:r>
          </w:p>
        </w:tc>
        <w:tc>
          <w:tcPr>
            <w:tcW w:w="150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Highly Conserved</w:t>
            </w:r>
          </w:p>
        </w:tc>
        <w:tc>
          <w:tcPr>
            <w:tcW w:w="3306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7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[2,3,7]</w:t>
            </w:r>
          </w:p>
        </w:tc>
        <w:tc>
          <w:tcPr>
            <w:tcW w:w="185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VUS</w:t>
            </w:r>
          </w:p>
        </w:tc>
        <w:tc>
          <w:tcPr>
            <w:tcW w:w="257" w:type="dxa"/>
            <w:vMerge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55B15" w:rsidRPr="008821C5" w:rsidTr="00DB0C57">
        <w:trPr>
          <w:trHeight w:val="240"/>
        </w:trPr>
        <w:tc>
          <w:tcPr>
            <w:tcW w:w="1750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p.</w:t>
            </w: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G2506R</w:t>
            </w:r>
          </w:p>
        </w:tc>
        <w:tc>
          <w:tcPr>
            <w:tcW w:w="1701" w:type="dxa"/>
            <w:noWrap/>
            <w:hideMark/>
          </w:tcPr>
          <w:p w:rsidR="00955B1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 novo; </w:t>
            </w:r>
          </w:p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inherited </w:t>
            </w: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mosaicism</w:t>
            </w:r>
            <w:proofErr w:type="spellEnd"/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2" w:type="dxa"/>
            <w:noWrap/>
            <w:hideMark/>
          </w:tcPr>
          <w:p w:rsidR="00955B15" w:rsidRPr="008821C5" w:rsidRDefault="00955B15" w:rsidP="00DB0C5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8.28E-06</w:t>
            </w:r>
          </w:p>
        </w:tc>
        <w:tc>
          <w:tcPr>
            <w:tcW w:w="1275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Deleterious</w:t>
            </w:r>
          </w:p>
        </w:tc>
        <w:tc>
          <w:tcPr>
            <w:tcW w:w="150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Highly Conserved</w:t>
            </w:r>
          </w:p>
        </w:tc>
        <w:tc>
          <w:tcPr>
            <w:tcW w:w="3306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7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Likely Pathogenic</w:t>
            </w:r>
          </w:p>
        </w:tc>
        <w:tc>
          <w:tcPr>
            <w:tcW w:w="257" w:type="dxa"/>
            <w:vMerge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55B15" w:rsidRPr="008821C5" w:rsidTr="00DB0C57">
        <w:trPr>
          <w:trHeight w:val="240"/>
        </w:trPr>
        <w:tc>
          <w:tcPr>
            <w:tcW w:w="1750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p.</w:t>
            </w: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I2550T</w:t>
            </w:r>
          </w:p>
        </w:tc>
        <w:tc>
          <w:tcPr>
            <w:tcW w:w="170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singleton; singleton</w:t>
            </w:r>
          </w:p>
        </w:tc>
        <w:tc>
          <w:tcPr>
            <w:tcW w:w="1332" w:type="dxa"/>
            <w:noWrap/>
            <w:hideMark/>
          </w:tcPr>
          <w:p w:rsidR="00955B15" w:rsidRPr="008821C5" w:rsidRDefault="00955B15" w:rsidP="00DB0C5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Deleterious</w:t>
            </w:r>
          </w:p>
        </w:tc>
        <w:tc>
          <w:tcPr>
            <w:tcW w:w="150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Highly Conserved</w:t>
            </w:r>
          </w:p>
        </w:tc>
        <w:tc>
          <w:tcPr>
            <w:tcW w:w="3306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Likely Pathogenic</w:t>
            </w:r>
          </w:p>
        </w:tc>
        <w:tc>
          <w:tcPr>
            <w:tcW w:w="257" w:type="dxa"/>
            <w:vMerge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55B15" w:rsidRPr="008821C5" w:rsidTr="00DB0C57">
        <w:trPr>
          <w:trHeight w:val="240"/>
        </w:trPr>
        <w:tc>
          <w:tcPr>
            <w:tcW w:w="1750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p.</w:t>
            </w: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K2563del</w:t>
            </w:r>
          </w:p>
        </w:tc>
        <w:tc>
          <w:tcPr>
            <w:tcW w:w="170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novo</w:t>
            </w:r>
          </w:p>
        </w:tc>
        <w:tc>
          <w:tcPr>
            <w:tcW w:w="1332" w:type="dxa"/>
            <w:noWrap/>
            <w:hideMark/>
          </w:tcPr>
          <w:p w:rsidR="00955B15" w:rsidRPr="008821C5" w:rsidRDefault="00955B15" w:rsidP="00DB0C5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Deleterious</w:t>
            </w:r>
          </w:p>
        </w:tc>
        <w:tc>
          <w:tcPr>
            <w:tcW w:w="150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3306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71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[20,21]</w:t>
            </w:r>
          </w:p>
        </w:tc>
        <w:tc>
          <w:tcPr>
            <w:tcW w:w="1859" w:type="dxa"/>
            <w:noWrap/>
            <w:hideMark/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821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Likely Pathogenic</w:t>
            </w:r>
          </w:p>
        </w:tc>
        <w:tc>
          <w:tcPr>
            <w:tcW w:w="257" w:type="dxa"/>
            <w:vMerge/>
            <w:tcBorders>
              <w:bottom w:val="nil"/>
            </w:tcBorders>
          </w:tcPr>
          <w:p w:rsidR="00955B15" w:rsidRPr="008821C5" w:rsidRDefault="00955B15" w:rsidP="00DB0C5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955B15" w:rsidRPr="004D17F2" w:rsidRDefault="00955B15" w:rsidP="00DB0C57">
      <w:pPr>
        <w:ind w:left="-851"/>
        <w:rPr>
          <w:rFonts w:ascii="Helvetica" w:eastAsia="Times New Roman" w:hAnsi="Helvetica" w:cs="Times New Roman"/>
          <w:color w:val="666666"/>
          <w:sz w:val="15"/>
          <w:szCs w:val="15"/>
        </w:rPr>
      </w:pPr>
      <w:r w:rsidRPr="004B4BFD">
        <w:rPr>
          <w:b/>
        </w:rPr>
        <w:t xml:space="preserve">Table </w:t>
      </w:r>
      <w:r w:rsidR="00E206E0">
        <w:rPr>
          <w:b/>
        </w:rPr>
        <w:t>S</w:t>
      </w:r>
      <w:r w:rsidRPr="004B4BFD">
        <w:rPr>
          <w:b/>
        </w:rPr>
        <w:t>2:</w:t>
      </w:r>
      <w:r>
        <w:t xml:space="preserve"> Assessment of pathogenicity for ITPR1 variants identified in this study</w:t>
      </w:r>
    </w:p>
    <w:p w:rsidR="00955B15" w:rsidRDefault="00955B15" w:rsidP="00DB0C57">
      <w:pPr>
        <w:ind w:left="-851" w:right="-1050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#</w:t>
      </w:r>
      <w:r w:rsidRPr="004D17F2">
        <w:rPr>
          <w:rFonts w:eastAsia="Times New Roman" w:cs="Arial"/>
          <w:color w:val="000000"/>
        </w:rPr>
        <w:t xml:space="preserve">Variants were classified as per ACMG guidelines </w:t>
      </w:r>
      <w:r w:rsidR="00EB3E69">
        <w:rPr>
          <w:rFonts w:eastAsia="Times New Roman" w:cs="Arial"/>
          <w:color w:val="000000"/>
        </w:rPr>
        <w:fldChar w:fldCharType="begin"/>
      </w:r>
      <w:r w:rsidR="00876BD2">
        <w:rPr>
          <w:rFonts w:eastAsia="Times New Roman" w:cs="Arial"/>
          <w:color w:val="000000"/>
        </w:rPr>
        <w:instrText xml:space="preserve"> ADDIN PAPERS2_CITATIONS &lt;citation&gt;&lt;uuid&gt;18515C03-D2C4-45E9-A235-3A6A3F85388A&lt;/uuid&gt;&lt;priority&gt;0&lt;/priority&gt;&lt;publications&gt;&lt;publication&gt;&lt;uuid&gt;F055B630-E0E8-4F54-B2B4-922F071C3413&lt;/uuid&gt;&lt;volume&gt;17&lt;/volume&gt;&lt;accepted_date&gt;99201501281200000000222000&lt;/accepted_date&gt;&lt;doi&gt;10.1038/gim.2015.30&lt;/doi&gt;&lt;startpage&gt;405&lt;/startpage&gt;&lt;publication_date&gt;99201505001200000000220000&lt;/publication_date&gt;&lt;url&gt;http://www.nature.com/doifinder/10.1038/gim.2015.30&lt;/url&gt;&lt;type&gt;400&lt;/type&gt;&lt;title&gt;Standards and guidelines for the interpretation of sequence variants: a joint consensus recommendation of the American College of Medical Genetics and Genomics and the Association for Molecular Pathology.&lt;/title&gt;&lt;publisher&gt;Springer Nature&lt;/publisher&gt;&lt;submission_date&gt;99201501281200000000222000&lt;/submission_date&gt;&lt;number&gt;5&lt;/number&gt;&lt;institution&gt;Department of Molecular and Medical Genetics, Knight Diagnostic Laboratories, Oregon Health &amp;amp; Science University, Portland, Oregon, USA.&lt;/institution&gt;&lt;subtype&gt;420&lt;/subtype&gt;&lt;endpage&gt;424&lt;/endpage&gt;&lt;bundle&gt;&lt;publication&gt;&lt;title&gt;Genetics in medicine : official journal of the American College of Medical Genetics&lt;/title&gt;&lt;type&gt;-200&lt;/type&gt;&lt;subtype&gt;-200&lt;/subtype&gt;&lt;uuid&gt;103841F6-497C-4265-9167-80A2A0464B98&lt;/uuid&gt;&lt;/publication&gt;&lt;/bundle&gt;&lt;authors&gt;&lt;author&gt;&lt;firstName&gt;Sue&lt;/firstName&gt;&lt;lastName&gt;Richards&lt;/lastName&gt;&lt;/author&gt;&lt;author&gt;&lt;firstName&gt;Nazneen&lt;/firstName&gt;&lt;lastName&gt;Aziz&lt;/lastName&gt;&lt;/author&gt;&lt;author&gt;&lt;firstName&gt;Sherri&lt;/firstName&gt;&lt;lastName&gt;Bale&lt;/lastName&gt;&lt;/author&gt;&lt;author&gt;&lt;firstName&gt;David&lt;/firstName&gt;&lt;lastName&gt;Bick&lt;/lastName&gt;&lt;/author&gt;&lt;author&gt;&lt;firstName&gt;Soma&lt;/firstName&gt;&lt;lastName&gt;Das&lt;/lastName&gt;&lt;/author&gt;&lt;author&gt;&lt;firstName&gt;Julie&lt;/firstName&gt;&lt;lastName&gt;Gastier-Foster&lt;/lastName&gt;&lt;/author&gt;&lt;author&gt;&lt;firstName&gt;Wayne&lt;/firstName&gt;&lt;middleNames&gt;W&lt;/middleNames&gt;&lt;lastName&gt;Grody&lt;/lastName&gt;&lt;/author&gt;&lt;author&gt;&lt;firstName&gt;Madhuri&lt;/firstName&gt;&lt;lastName&gt;Hegde&lt;/lastName&gt;&lt;/author&gt;&lt;author&gt;&lt;firstName&gt;Elaine&lt;/firstName&gt;&lt;lastName&gt;Lyon&lt;/lastName&gt;&lt;/author&gt;&lt;author&gt;&lt;firstName&gt;Elaine&lt;/firstName&gt;&lt;lastName&gt;Spector&lt;/lastName&gt;&lt;/author&gt;&lt;author&gt;&lt;firstName&gt;Karl&lt;/firstName&gt;&lt;lastName&gt;Voelkerding&lt;/lastName&gt;&lt;/author&gt;&lt;author&gt;&lt;firstName&gt;Heidi&lt;/firstName&gt;&lt;middleNames&gt;L&lt;/middleNames&gt;&lt;lastName&gt;Rehm&lt;/lastName&gt;&lt;/author&gt;&lt;author&gt;&lt;lastName&gt;ACMG Laboratory Quality Assurance Committee&lt;/lastName&gt;&lt;/author&gt;&lt;/authors&gt;&lt;/publication&gt;&lt;/publications&gt;&lt;cites&gt;&lt;/cites&gt;&lt;/citation&gt;</w:instrText>
      </w:r>
      <w:r w:rsidR="00EB3E69">
        <w:rPr>
          <w:rFonts w:eastAsia="Times New Roman" w:cs="Arial"/>
          <w:color w:val="000000"/>
        </w:rPr>
        <w:fldChar w:fldCharType="separate"/>
      </w:r>
      <w:r w:rsidR="00876BD2">
        <w:rPr>
          <w:rFonts w:ascii="Cambria" w:hAnsi="Cambria" w:cs="Cambria"/>
          <w:lang w:val="en-US"/>
        </w:rPr>
        <w:t>[1]</w:t>
      </w:r>
      <w:r w:rsidR="00EB3E69">
        <w:rPr>
          <w:rFonts w:eastAsia="Times New Roman" w:cs="Arial"/>
          <w:color w:val="000000"/>
        </w:rPr>
        <w:fldChar w:fldCharType="end"/>
      </w:r>
      <w:r w:rsidRPr="004D17F2">
        <w:rPr>
          <w:rFonts w:eastAsia="Times New Roman" w:cs="Arial"/>
          <w:color w:val="000000"/>
        </w:rPr>
        <w:t xml:space="preserve"> using the mutation analysis program </w:t>
      </w:r>
      <w:proofErr w:type="spellStart"/>
      <w:r w:rsidRPr="004D17F2">
        <w:rPr>
          <w:rFonts w:eastAsia="Times New Roman" w:cs="Arial"/>
          <w:color w:val="000000"/>
        </w:rPr>
        <w:t>Alamut</w:t>
      </w:r>
      <w:proofErr w:type="spellEnd"/>
      <w:r w:rsidRPr="004D17F2">
        <w:rPr>
          <w:rFonts w:eastAsia="Times New Roman" w:cs="Arial"/>
          <w:color w:val="000000"/>
        </w:rPr>
        <w:t xml:space="preserve"> Visual (V2.8.0). </w:t>
      </w:r>
    </w:p>
    <w:p w:rsidR="00955B15" w:rsidRPr="004D17F2" w:rsidRDefault="00955B15" w:rsidP="00DB0C57">
      <w:pPr>
        <w:ind w:left="-851" w:right="-1050"/>
        <w:rPr>
          <w:rFonts w:eastAsia="Times New Roman" w:cs="Tahoma"/>
          <w:color w:val="000000"/>
        </w:rPr>
      </w:pPr>
      <w:r>
        <w:rPr>
          <w:rFonts w:eastAsia="Times New Roman" w:cs="Arial"/>
          <w:color w:val="000000"/>
        </w:rPr>
        <w:t>*</w:t>
      </w:r>
      <w:r w:rsidRPr="004D17F2">
        <w:rPr>
          <w:rFonts w:eastAsia="Times New Roman" w:cs="Arial"/>
          <w:color w:val="000000"/>
        </w:rPr>
        <w:t xml:space="preserve">For pathogenicity prediction scores, SIFT 1.0 </w:t>
      </w:r>
      <w:r w:rsidR="00EB3E69">
        <w:rPr>
          <w:rFonts w:eastAsia="Times New Roman" w:cs="Arial"/>
          <w:color w:val="000000"/>
        </w:rPr>
        <w:fldChar w:fldCharType="begin"/>
      </w:r>
      <w:r w:rsidR="00876BD2">
        <w:rPr>
          <w:rFonts w:eastAsia="Times New Roman" w:cs="Arial"/>
          <w:color w:val="000000"/>
        </w:rPr>
        <w:instrText xml:space="preserve"> ADDIN PAPERS2_CITATIONS &lt;citation&gt;&lt;uuid&gt;5B052017-0B8C-4FD0-BA31-8B6AFEE35228&lt;/uuid&gt;&lt;priority&gt;0&lt;/priority&gt;&lt;publications&gt;&lt;publication&gt;&lt;uuid&gt;4E815570-0521-4444-8504-B7C766721F62&lt;/uuid&gt;&lt;volume&gt;4&lt;/volume&gt;&lt;doi&gt;10.1038/nprot.2009.86&lt;/doi&gt;&lt;startpage&gt;1073&lt;/startpage&gt;&lt;publication_date&gt;99200900001200000000200000&lt;/publication_date&gt;&lt;url&gt;http://www.nature.com/doifinder/10.1038/nprot.2009.86&lt;/url&gt;&lt;type&gt;400&lt;/type&gt;&lt;title&gt;Predicting the effects of coding non-synonymous variants on protein function using the SIFT algorithm.&lt;/title&gt;&lt;institution&gt;Department of Genomic Medicine, J. Craig Venter Institute, San Diego, California, USA.&lt;/institution&gt;&lt;number&gt;7&lt;/number&gt;&lt;subtype&gt;400&lt;/subtype&gt;&lt;endpage&gt;1081&lt;/endpage&gt;&lt;bundle&gt;&lt;publication&gt;&lt;title&gt;Nature protocols&lt;/title&gt;&lt;type&gt;-100&lt;/type&gt;&lt;subtype&gt;-100&lt;/subtype&gt;&lt;uuid&gt;A4B325A6-113C-4976-A58A-06A85D0598BA&lt;/uuid&gt;&lt;/publication&gt;&lt;/bundle&gt;&lt;authors&gt;&lt;author&gt;&lt;firstName&gt;Prateek&lt;/firstName&gt;&lt;lastName&gt;Kumar&lt;/lastName&gt;&lt;/author&gt;&lt;author&gt;&lt;firstName&gt;Steven&lt;/firstName&gt;&lt;lastName&gt;Henikoff&lt;/lastName&gt;&lt;/author&gt;&lt;author&gt;&lt;firstName&gt;Pauline&lt;/firstName&gt;&lt;middleNames&gt;C&lt;/middleNames&gt;&lt;lastName&gt;Ng&lt;/lastName&gt;&lt;/author&gt;&lt;/authors&gt;&lt;/publication&gt;&lt;/publications&gt;&lt;cites&gt;&lt;/cites&gt;&lt;/citation&gt;</w:instrText>
      </w:r>
      <w:r w:rsidR="00EB3E69">
        <w:rPr>
          <w:rFonts w:eastAsia="Times New Roman" w:cs="Arial"/>
          <w:color w:val="000000"/>
        </w:rPr>
        <w:fldChar w:fldCharType="separate"/>
      </w:r>
      <w:r w:rsidR="00876BD2">
        <w:rPr>
          <w:rFonts w:ascii="Cambria" w:hAnsi="Cambria" w:cs="Cambria"/>
          <w:lang w:val="en-US"/>
        </w:rPr>
        <w:t>[2]</w:t>
      </w:r>
      <w:r w:rsidR="00EB3E69">
        <w:rPr>
          <w:rFonts w:eastAsia="Times New Roman" w:cs="Arial"/>
          <w:color w:val="000000"/>
        </w:rPr>
        <w:fldChar w:fldCharType="end"/>
      </w:r>
      <w:r w:rsidRPr="004D17F2">
        <w:rPr>
          <w:rFonts w:eastAsia="Times New Roman" w:cs="Arial"/>
          <w:color w:val="000000"/>
        </w:rPr>
        <w:t xml:space="preserve">, </w:t>
      </w:r>
      <w:proofErr w:type="spellStart"/>
      <w:r w:rsidRPr="004D17F2">
        <w:rPr>
          <w:rFonts w:eastAsia="Times New Roman" w:cs="Arial"/>
          <w:color w:val="000000"/>
        </w:rPr>
        <w:t>PolyPhen</w:t>
      </w:r>
      <w:proofErr w:type="spellEnd"/>
      <w:r w:rsidRPr="004D17F2">
        <w:rPr>
          <w:rFonts w:eastAsia="Times New Roman" w:cs="Arial"/>
          <w:color w:val="000000"/>
        </w:rPr>
        <w:t xml:space="preserve"> 2.0 </w:t>
      </w:r>
      <w:r w:rsidR="00EB3E69">
        <w:rPr>
          <w:rFonts w:eastAsia="Times New Roman" w:cs="Arial"/>
          <w:color w:val="000000"/>
        </w:rPr>
        <w:fldChar w:fldCharType="begin"/>
      </w:r>
      <w:r w:rsidR="00876BD2">
        <w:rPr>
          <w:rFonts w:eastAsia="Times New Roman" w:cs="Arial"/>
          <w:color w:val="000000"/>
        </w:rPr>
        <w:instrText xml:space="preserve"> ADDIN PAPERS2_CITATIONS &lt;citation&gt;&lt;uuid&gt;045A5AD1-0684-4F3A-B5CD-B0B9D7EEA3D4&lt;/uuid&gt;&lt;priority&gt;0&lt;/priority&gt;&lt;publications&gt;&lt;publication&gt;&lt;volume&gt;7&lt;/volume&gt;&lt;publication_date&gt;99201004001200000000220000&lt;/publication_date&gt;&lt;number&gt;4&lt;/number&gt;&lt;doi&gt;10.1038/nmeth0410-248&lt;/doi&gt;&lt;startpage&gt;248&lt;/startpage&gt;&lt;title&gt;A method and server for predicting damaging missense mutations.&lt;/title&gt;&lt;uuid&gt;5188969E-BCFC-43E6-939A-5116534D18C2&lt;/uuid&gt;&lt;subtype&gt;400&lt;/subtype&gt;&lt;endpage&gt;249&lt;/endpage&gt;&lt;type&gt;400&lt;/type&gt;&lt;url&gt;http://www.nature.com/doifinder/10.1038/nmeth0410-248&lt;/url&gt;&lt;bundle&gt;&lt;publication&gt;&lt;title&gt;Nature methods&lt;/title&gt;&lt;type&gt;-100&lt;/type&gt;&lt;subtype&gt;-100&lt;/subtype&gt;&lt;uuid&gt;70A8F224-89B1-4C0C-9DC9-DB7E75133217&lt;/uuid&gt;&lt;/publication&gt;&lt;/bundle&gt;&lt;authors&gt;&lt;author&gt;&lt;firstName&gt;Ivan&lt;/firstName&gt;&lt;middleNames&gt;A&lt;/middleNames&gt;&lt;lastName&gt;Adzhubei&lt;/lastName&gt;&lt;/author&gt;&lt;author&gt;&lt;firstName&gt;Steffen&lt;/firstName&gt;&lt;lastName&gt;Schmidt&lt;/lastName&gt;&lt;/author&gt;&lt;author&gt;&lt;firstName&gt;Leonid&lt;/firstName&gt;&lt;lastName&gt;Peshkin&lt;/lastName&gt;&lt;/author&gt;&lt;author&gt;&lt;firstName&gt;Vasily&lt;/firstName&gt;&lt;middleNames&gt;E&lt;/middleNames&gt;&lt;lastName&gt;Ramensky&lt;/lastName&gt;&lt;/author&gt;&lt;author&gt;&lt;firstName&gt;Anna&lt;/firstName&gt;&lt;lastName&gt;Gerasimova&lt;/lastName&gt;&lt;/author&gt;&lt;author&gt;&lt;firstName&gt;Peer&lt;/firstName&gt;&lt;lastName&gt;Bork&lt;/lastName&gt;&lt;/author&gt;&lt;author&gt;&lt;firstName&gt;Alexey&lt;/firstName&gt;&lt;middleNames&gt;S&lt;/middleNames&gt;&lt;lastName&gt;Kondrashov&lt;/lastName&gt;&lt;/author&gt;&lt;author&gt;&lt;firstName&gt;Shamil&lt;/firstName&gt;&lt;middleNames&gt;R&lt;/middleNames&gt;&lt;lastName&gt;Sunyaev&lt;/lastName&gt;&lt;/author&gt;&lt;/authors&gt;&lt;/publication&gt;&lt;/publications&gt;&lt;cites&gt;&lt;/cites&gt;&lt;/citation&gt;</w:instrText>
      </w:r>
      <w:r w:rsidR="00EB3E69">
        <w:rPr>
          <w:rFonts w:eastAsia="Times New Roman" w:cs="Arial"/>
          <w:color w:val="000000"/>
        </w:rPr>
        <w:fldChar w:fldCharType="separate"/>
      </w:r>
      <w:r w:rsidR="00876BD2">
        <w:rPr>
          <w:rFonts w:ascii="Cambria" w:hAnsi="Cambria" w:cs="Cambria"/>
          <w:lang w:val="en-US"/>
        </w:rPr>
        <w:t>[3]</w:t>
      </w:r>
      <w:r w:rsidR="00EB3E69">
        <w:rPr>
          <w:rFonts w:eastAsia="Times New Roman" w:cs="Arial"/>
          <w:color w:val="000000"/>
        </w:rPr>
        <w:fldChar w:fldCharType="end"/>
      </w:r>
      <w:r w:rsidRPr="004D17F2">
        <w:rPr>
          <w:rFonts w:eastAsia="Times New Roman" w:cs="Arial"/>
          <w:color w:val="000000"/>
        </w:rPr>
        <w:t xml:space="preserve">, and Mutation Taster </w:t>
      </w:r>
      <w:r w:rsidR="00EB3E69">
        <w:rPr>
          <w:rFonts w:eastAsia="Times New Roman" w:cs="Arial"/>
          <w:color w:val="000000"/>
        </w:rPr>
        <w:fldChar w:fldCharType="begin"/>
      </w:r>
      <w:r w:rsidR="00876BD2">
        <w:rPr>
          <w:rFonts w:eastAsia="Times New Roman" w:cs="Arial"/>
          <w:color w:val="000000"/>
        </w:rPr>
        <w:instrText xml:space="preserve"> ADDIN PAPERS2_CITATIONS &lt;citation&gt;&lt;uuid&gt;A9854163-95AF-475B-A838-2ED9C6B4EDA7&lt;/uuid&gt;&lt;priority&gt;0&lt;/priority&gt;&lt;publications&gt;&lt;publication&gt;&lt;volume&gt;7&lt;/volume&gt;&lt;publication_date&gt;99201008001200000000220000&lt;/publication_date&gt;&lt;number&gt;8&lt;/number&gt;&lt;doi&gt;10.1038/nmeth0810-575&lt;/doi&gt;&lt;startpage&gt;575&lt;/startpage&gt;&lt;title&gt;MutationTaster evaluates disease-causing potential of sequence alterations&lt;/title&gt;&lt;uuid&gt;423C4C10-91B8-4050-A869-69F2E3691C30&lt;/uuid&gt;&lt;subtype&gt;400&lt;/subtype&gt;&lt;endpage&gt;576&lt;/endpage&gt;&lt;type&gt;400&lt;/type&gt;&lt;url&gt;http://www.nature.com/doifinder/10.1038/nmeth0810-575&lt;/url&gt;&lt;bundle&gt;&lt;publication&gt;&lt;title&gt;Nature methods&lt;/title&gt;&lt;type&gt;-100&lt;/type&gt;&lt;subtype&gt;-100&lt;/subtype&gt;&lt;uuid&gt;70A8F224-89B1-4C0C-9DC9-DB7E75133217&lt;/uuid&gt;&lt;/publication&gt;&lt;/bundle&gt;&lt;authors&gt;&lt;author&gt;&lt;firstName&gt;Jana&lt;/firstName&gt;&lt;middleNames&gt;Marie&lt;/middleNames&gt;&lt;lastName&gt;Schwarz&lt;/lastName&gt;&lt;/author&gt;&lt;author&gt;&lt;firstName&gt;Christian&lt;/firstName&gt;&lt;lastName&gt;Rödelsperger&lt;/lastName&gt;&lt;/author&gt;&lt;author&gt;&lt;firstName&gt;Markus&lt;/firstName&gt;&lt;lastName&gt;Schuelke&lt;/lastName&gt;&lt;/author&gt;&lt;author&gt;&lt;firstName&gt;Dominik&lt;/firstName&gt;&lt;lastName&gt;Seelow&lt;/lastName&gt;&lt;/author&gt;&lt;/authors&gt;&lt;/publication&gt;&lt;/publications&gt;&lt;cites&gt;&lt;/cites&gt;&lt;/citation&gt;</w:instrText>
      </w:r>
      <w:r w:rsidR="00EB3E69">
        <w:rPr>
          <w:rFonts w:eastAsia="Times New Roman" w:cs="Arial"/>
          <w:color w:val="000000"/>
        </w:rPr>
        <w:fldChar w:fldCharType="separate"/>
      </w:r>
      <w:r w:rsidR="00876BD2">
        <w:rPr>
          <w:rFonts w:ascii="Cambria" w:hAnsi="Cambria" w:cs="Cambria"/>
          <w:lang w:val="en-US"/>
        </w:rPr>
        <w:t>[4]</w:t>
      </w:r>
      <w:r w:rsidR="00EB3E69">
        <w:rPr>
          <w:rFonts w:eastAsia="Times New Roman" w:cs="Arial"/>
          <w:color w:val="000000"/>
        </w:rPr>
        <w:fldChar w:fldCharType="end"/>
      </w:r>
      <w:r w:rsidRPr="004D17F2">
        <w:rPr>
          <w:rFonts w:eastAsia="Times New Roman" w:cs="Arial"/>
          <w:color w:val="000000"/>
        </w:rPr>
        <w:t xml:space="preserve"> were considered in the calculation and consensus of all programs considered a predicted effect on protein function.</w:t>
      </w:r>
    </w:p>
    <w:p w:rsidR="00955B15" w:rsidRDefault="00955B15">
      <w:pPr>
        <w:sectPr w:rsidR="00955B15" w:rsidSect="00955B15">
          <w:pgSz w:w="15840" w:h="12240" w:orient="landscape"/>
          <w:pgMar w:top="1800" w:right="1440" w:bottom="1800" w:left="1440" w:header="708" w:footer="708" w:gutter="0"/>
          <w:cols w:space="708"/>
          <w:docGrid w:linePitch="360"/>
        </w:sectPr>
      </w:pPr>
    </w:p>
    <w:p w:rsidR="00142B0D" w:rsidRDefault="00142B0D">
      <w:pPr>
        <w:rPr>
          <w:b/>
        </w:rPr>
      </w:pPr>
      <w:r w:rsidRPr="00142B0D">
        <w:rPr>
          <w:b/>
        </w:rPr>
        <w:lastRenderedPageBreak/>
        <w:t>Supplementary References</w:t>
      </w:r>
    </w:p>
    <w:p w:rsidR="00876BD2" w:rsidRDefault="00EB3E69" w:rsidP="00876BD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Cambria" w:hAnsi="Cambria" w:cs="Cambria"/>
          <w:lang w:val="en-US"/>
        </w:rPr>
      </w:pPr>
      <w:r>
        <w:rPr>
          <w:b/>
        </w:rPr>
        <w:fldChar w:fldCharType="begin"/>
      </w:r>
      <w:r w:rsidR="00876BD2">
        <w:rPr>
          <w:b/>
        </w:rPr>
        <w:instrText xml:space="preserve"> ADDIN PAPERS2_CITATIONS &lt;papers2_bibliography/&gt;</w:instrText>
      </w:r>
      <w:r>
        <w:rPr>
          <w:b/>
        </w:rPr>
        <w:fldChar w:fldCharType="separate"/>
      </w:r>
      <w:r w:rsidR="00876BD2">
        <w:rPr>
          <w:rFonts w:ascii="Cambria" w:hAnsi="Cambria" w:cs="Cambria"/>
          <w:lang w:val="en-US"/>
        </w:rPr>
        <w:t>1. Richards S, Aziz N, Bale S, Bick D, Das S, Gastier-Foster J, et al. Standards and guidelines for the interpretation of sequence variants: a joint consensus recommendation of the American College of Medical Genetics and Genomics and the Association for Molecular Patholo</w:t>
      </w:r>
      <w:r w:rsidR="009A01FC">
        <w:rPr>
          <w:rFonts w:ascii="Cambria" w:hAnsi="Cambria" w:cs="Cambria"/>
          <w:lang w:val="en-US"/>
        </w:rPr>
        <w:t>gy. Genet. Med. Springer Nature. 2015:</w:t>
      </w:r>
      <w:r w:rsidR="00876BD2">
        <w:rPr>
          <w:rFonts w:ascii="Cambria" w:hAnsi="Cambria" w:cs="Cambria"/>
          <w:lang w:val="en-US"/>
        </w:rPr>
        <w:t xml:space="preserve">405–24. </w:t>
      </w:r>
    </w:p>
    <w:p w:rsidR="00876BD2" w:rsidRDefault="00876BD2" w:rsidP="00876BD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Cambria" w:hAnsi="Cambria" w:cs="Cambria"/>
          <w:lang w:val="en-US"/>
        </w:rPr>
      </w:pPr>
      <w:r>
        <w:rPr>
          <w:rFonts w:ascii="Cambria" w:hAnsi="Cambria" w:cs="Cambria"/>
          <w:lang w:val="en-US"/>
        </w:rPr>
        <w:t xml:space="preserve">2. Kumar P, Henikoff S, Ng PC. Predicting the effects of coding non-synonymous variants on protein function using the SIFT algorithm. Nat Protoc. 2009;4:1073–81. </w:t>
      </w:r>
    </w:p>
    <w:p w:rsidR="00876BD2" w:rsidRDefault="00876BD2" w:rsidP="00876BD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Cambria" w:hAnsi="Cambria" w:cs="Cambria"/>
          <w:lang w:val="en-US"/>
        </w:rPr>
      </w:pPr>
      <w:r>
        <w:rPr>
          <w:rFonts w:ascii="Cambria" w:hAnsi="Cambria" w:cs="Cambria"/>
          <w:lang w:val="en-US"/>
        </w:rPr>
        <w:t xml:space="preserve">3. Adzhubei IA, Schmidt S, Peshkin L, Ramensky VE, Gerasimova A, Bork P, et al. A method and server for predicting damaging missense mutations. Nat. Methods. 2010;7:248–9. </w:t>
      </w:r>
    </w:p>
    <w:p w:rsidR="00876BD2" w:rsidRDefault="00876BD2" w:rsidP="00876BD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Cambria" w:hAnsi="Cambria" w:cs="Cambria"/>
          <w:lang w:val="en-US"/>
        </w:rPr>
      </w:pPr>
      <w:r>
        <w:rPr>
          <w:rFonts w:ascii="Cambria" w:hAnsi="Cambria" w:cs="Cambria"/>
          <w:lang w:val="en-US"/>
        </w:rPr>
        <w:t xml:space="preserve">4. Schwarz JM, Rödelsperger C, Schuelke M, Seelow D. MutationTaster evaluates disease-causing potential of sequence alterations. Nat. Methods. 2010;7:575–6. </w:t>
      </w:r>
    </w:p>
    <w:p w:rsidR="00142B0D" w:rsidRPr="00142B0D" w:rsidRDefault="00EB3E69" w:rsidP="00876BD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0" w:hanging="400"/>
        <w:rPr>
          <w:b/>
        </w:rPr>
      </w:pPr>
      <w:r>
        <w:rPr>
          <w:b/>
        </w:rPr>
        <w:fldChar w:fldCharType="end"/>
      </w:r>
    </w:p>
    <w:sectPr w:rsidR="00142B0D" w:rsidRPr="00142B0D" w:rsidSect="00046B7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FCE" w:rsidRDefault="00481FCE" w:rsidP="00DE19BA">
      <w:r>
        <w:separator/>
      </w:r>
    </w:p>
  </w:endnote>
  <w:endnote w:type="continuationSeparator" w:id="0">
    <w:p w:rsidR="00481FCE" w:rsidRDefault="00481FCE" w:rsidP="00DE1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FCE" w:rsidRDefault="00481FCE" w:rsidP="00DE19BA">
      <w:r>
        <w:separator/>
      </w:r>
    </w:p>
  </w:footnote>
  <w:footnote w:type="continuationSeparator" w:id="0">
    <w:p w:rsidR="00481FCE" w:rsidRDefault="00481FCE" w:rsidP="00DE19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7"/>
  </w:docVars>
  <w:rsids>
    <w:rsidRoot w:val="008821C5"/>
    <w:rsid w:val="00046B7B"/>
    <w:rsid w:val="00142B0D"/>
    <w:rsid w:val="00194220"/>
    <w:rsid w:val="00317C23"/>
    <w:rsid w:val="00441AD4"/>
    <w:rsid w:val="00481FCE"/>
    <w:rsid w:val="004B4BFD"/>
    <w:rsid w:val="004D17F2"/>
    <w:rsid w:val="00524627"/>
    <w:rsid w:val="005E7DB0"/>
    <w:rsid w:val="006F6299"/>
    <w:rsid w:val="007F6123"/>
    <w:rsid w:val="00876BD2"/>
    <w:rsid w:val="008821C5"/>
    <w:rsid w:val="00955B15"/>
    <w:rsid w:val="009A01FC"/>
    <w:rsid w:val="009E645D"/>
    <w:rsid w:val="00A2434C"/>
    <w:rsid w:val="00A26D8C"/>
    <w:rsid w:val="00B8042E"/>
    <w:rsid w:val="00BD6ECB"/>
    <w:rsid w:val="00C213BD"/>
    <w:rsid w:val="00C25348"/>
    <w:rsid w:val="00C66083"/>
    <w:rsid w:val="00CF53D3"/>
    <w:rsid w:val="00DB0C57"/>
    <w:rsid w:val="00DE19BA"/>
    <w:rsid w:val="00E206E0"/>
    <w:rsid w:val="00EB3E69"/>
    <w:rsid w:val="00EB5259"/>
    <w:rsid w:val="00EC4984"/>
    <w:rsid w:val="00FA7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E69"/>
    <w:rPr>
      <w:lang w:val="en-CA"/>
    </w:rPr>
  </w:style>
  <w:style w:type="paragraph" w:styleId="Heading1">
    <w:name w:val="heading 1"/>
    <w:basedOn w:val="Normal"/>
    <w:link w:val="Heading1Char"/>
    <w:uiPriority w:val="9"/>
    <w:qFormat/>
    <w:rsid w:val="00CF53D3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1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8821C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F53D3"/>
    <w:rPr>
      <w:rFonts w:ascii="Times" w:hAnsi="Times"/>
      <w:b/>
      <w:bCs/>
      <w:kern w:val="36"/>
      <w:sz w:val="48"/>
      <w:szCs w:val="48"/>
      <w:lang w:val="en-CA"/>
    </w:rPr>
  </w:style>
  <w:style w:type="character" w:styleId="Hyperlink">
    <w:name w:val="Hyperlink"/>
    <w:basedOn w:val="DefaultParagraphFont"/>
    <w:uiPriority w:val="99"/>
    <w:semiHidden/>
    <w:unhideWhenUsed/>
    <w:rsid w:val="00CF53D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F53D3"/>
  </w:style>
  <w:style w:type="paragraph" w:styleId="BalloonText">
    <w:name w:val="Balloon Text"/>
    <w:basedOn w:val="Normal"/>
    <w:link w:val="BalloonTextChar"/>
    <w:uiPriority w:val="99"/>
    <w:semiHidden/>
    <w:unhideWhenUsed/>
    <w:rsid w:val="00A243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34C"/>
    <w:rPr>
      <w:rFonts w:ascii="Tahoma" w:hAnsi="Tahoma" w:cs="Tahoma"/>
      <w:sz w:val="16"/>
      <w:szCs w:val="16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A243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3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34C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3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34C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DE19BA"/>
    <w:rPr>
      <w:lang w:val="en-CA"/>
    </w:rPr>
  </w:style>
  <w:style w:type="paragraph" w:styleId="Header">
    <w:name w:val="header"/>
    <w:basedOn w:val="Normal"/>
    <w:link w:val="HeaderChar"/>
    <w:uiPriority w:val="99"/>
    <w:unhideWhenUsed/>
    <w:rsid w:val="00DE19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9BA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DE19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9BA"/>
    <w:rPr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link w:val="Heading1Char"/>
    <w:uiPriority w:val="9"/>
    <w:qFormat/>
    <w:rsid w:val="00CF53D3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1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8821C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F53D3"/>
    <w:rPr>
      <w:rFonts w:ascii="Times" w:hAnsi="Times"/>
      <w:b/>
      <w:bCs/>
      <w:kern w:val="36"/>
      <w:sz w:val="48"/>
      <w:szCs w:val="48"/>
      <w:lang w:val="en-CA"/>
    </w:rPr>
  </w:style>
  <w:style w:type="character" w:styleId="Hyperlink">
    <w:name w:val="Hyperlink"/>
    <w:basedOn w:val="DefaultParagraphFont"/>
    <w:uiPriority w:val="99"/>
    <w:semiHidden/>
    <w:unhideWhenUsed/>
    <w:rsid w:val="00CF53D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F53D3"/>
  </w:style>
  <w:style w:type="paragraph" w:styleId="BalloonText">
    <w:name w:val="Balloon Text"/>
    <w:basedOn w:val="Normal"/>
    <w:link w:val="BalloonTextChar"/>
    <w:uiPriority w:val="99"/>
    <w:semiHidden/>
    <w:unhideWhenUsed/>
    <w:rsid w:val="00A243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34C"/>
    <w:rPr>
      <w:rFonts w:ascii="Tahoma" w:hAnsi="Tahoma" w:cs="Tahoma"/>
      <w:sz w:val="16"/>
      <w:szCs w:val="16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A243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3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34C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3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34C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DE19BA"/>
    <w:rPr>
      <w:lang w:val="en-CA"/>
    </w:rPr>
  </w:style>
  <w:style w:type="paragraph" w:styleId="Header">
    <w:name w:val="header"/>
    <w:basedOn w:val="Normal"/>
    <w:link w:val="HeaderChar"/>
    <w:uiPriority w:val="99"/>
    <w:unhideWhenUsed/>
    <w:rsid w:val="00DE19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9BA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DE19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9BA"/>
    <w:rPr>
      <w:lang w:val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1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5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7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BB0E72-780D-4F62-947B-91EFD1B9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1211</Words>
  <Characters>7436</Characters>
  <Application>Microsoft Office Word</Application>
  <DocSecurity>0</DocSecurity>
  <Lines>619</Lines>
  <Paragraphs>432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Supplementary Table 1: SCA29 Questionnaire</vt:lpstr>
    </vt:vector>
  </TitlesOfParts>
  <Company>Dalhousie University</Company>
  <LinksUpToDate>false</LinksUpToDate>
  <CharactersWithSpaces>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Zambonin</dc:creator>
  <cp:lastModifiedBy>WDESALES</cp:lastModifiedBy>
  <cp:revision>7</cp:revision>
  <dcterms:created xsi:type="dcterms:W3CDTF">2017-02-05T19:35:00Z</dcterms:created>
  <dcterms:modified xsi:type="dcterms:W3CDTF">2017-06-22T14:09:00Z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id="http://www.zotero.org/styles/orphanet-journal-of-rare-diseases"/&gt;&lt;hasBiblio/&gt;&lt;format class="21"/&gt;&lt;count citations="4" publications="4"/&gt;&lt;/info&gt;PAPERS2_INFO_END</vt:lpwstr>
  </property>
</Properties>
</file>