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DF2D0" w14:textId="179045E0" w:rsidR="00AE25CE" w:rsidRPr="005C129E" w:rsidRDefault="006619E6" w:rsidP="000D748F">
      <w:pPr>
        <w:spacing w:line="480" w:lineRule="auto"/>
        <w:contextualSpacing/>
        <w:rPr>
          <w:rFonts w:ascii="Times New Roman" w:hAnsi="Times New Roman" w:cs="Arial"/>
          <w:b/>
          <w:sz w:val="24"/>
          <w:szCs w:val="24"/>
          <w:lang w:val="en-GB"/>
        </w:rPr>
      </w:pPr>
      <w:r>
        <w:rPr>
          <w:rFonts w:ascii="Times New Roman" w:hAnsi="Times New Roman" w:cs="Arial"/>
          <w:b/>
          <w:sz w:val="24"/>
          <w:szCs w:val="24"/>
          <w:lang w:val="en-GB"/>
        </w:rPr>
        <w:t xml:space="preserve">Additional </w:t>
      </w:r>
      <w:bookmarkStart w:id="0" w:name="_GoBack"/>
      <w:bookmarkEnd w:id="0"/>
      <w:r w:rsidR="00C14014" w:rsidRPr="005C129E">
        <w:rPr>
          <w:rFonts w:ascii="Times New Roman" w:hAnsi="Times New Roman" w:cs="Arial"/>
          <w:b/>
          <w:sz w:val="24"/>
          <w:szCs w:val="24"/>
          <w:lang w:val="en-GB"/>
        </w:rPr>
        <w:t>file 1</w:t>
      </w:r>
    </w:p>
    <w:p w14:paraId="344678C0" w14:textId="59AACE32" w:rsidR="000D748F" w:rsidRPr="005C129E" w:rsidRDefault="00264EC9" w:rsidP="000D748F">
      <w:pPr>
        <w:spacing w:line="48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5C129E">
        <w:rPr>
          <w:rFonts w:ascii="Times New Roman" w:hAnsi="Times New Roman"/>
          <w:sz w:val="24"/>
          <w:szCs w:val="24"/>
          <w:lang w:val="en-GB"/>
        </w:rPr>
        <w:t>Allogeneic</w:t>
      </w:r>
      <w:r w:rsidR="00A5541A" w:rsidRPr="005C129E">
        <w:rPr>
          <w:rFonts w:ascii="Times New Roman" w:hAnsi="Times New Roman"/>
          <w:sz w:val="24"/>
          <w:szCs w:val="24"/>
          <w:lang w:val="en-GB"/>
        </w:rPr>
        <w:t xml:space="preserve"> cortical strut grafts represent an attractiv</w:t>
      </w:r>
      <w:r w:rsidR="003E242B">
        <w:rPr>
          <w:rFonts w:ascii="Times New Roman" w:hAnsi="Times New Roman"/>
          <w:sz w:val="24"/>
          <w:szCs w:val="24"/>
          <w:lang w:val="en-GB"/>
        </w:rPr>
        <w:t>e option for the treatment of fibrous dysplasia</w:t>
      </w:r>
      <w:r w:rsidR="00A5541A" w:rsidRPr="005C129E">
        <w:rPr>
          <w:rFonts w:ascii="Times New Roman" w:hAnsi="Times New Roman"/>
          <w:sz w:val="24"/>
          <w:szCs w:val="24"/>
          <w:lang w:val="en-GB"/>
        </w:rPr>
        <w:t xml:space="preserve"> lesions of the proximal femur, provided that</w:t>
      </w:r>
      <w:r w:rsidR="00A5541A" w:rsidRPr="005C129E">
        <w:rPr>
          <w:rFonts w:ascii="Times New Roman" w:hAnsi="Times New Roman" w:cs="Arial"/>
          <w:sz w:val="24"/>
          <w:szCs w:val="24"/>
          <w:lang w:val="en-GB"/>
        </w:rPr>
        <w:t xml:space="preserve"> </w:t>
      </w:r>
      <w:r w:rsidR="000D748F" w:rsidRPr="005C129E">
        <w:rPr>
          <w:rFonts w:ascii="Times New Roman" w:hAnsi="Times New Roman" w:cs="Arial"/>
          <w:sz w:val="24"/>
          <w:szCs w:val="24"/>
          <w:lang w:val="en-GB"/>
        </w:rPr>
        <w:t>patients dot not have any of the previously described risk factors for failure of the procedure.</w:t>
      </w:r>
      <w:r w:rsidR="000D748F" w:rsidRPr="005C129E">
        <w:rPr>
          <w:rFonts w:ascii="Times New Roman" w:hAnsi="Times New Roman" w:cs="Arial"/>
          <w:sz w:val="24"/>
          <w:szCs w:val="24"/>
          <w:lang w:val="en-GB"/>
        </w:rPr>
        <w:fldChar w:fldCharType="begin">
          <w:fldData xml:space="preserve">PEVuZE5vdGU+PENpdGU+PEF1dGhvcj5NYWpvb3I8L0F1dGhvcj48WWVhcj4yMDE2PC9ZZWFyPjxS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==
</w:fldData>
        </w:fldChar>
      </w:r>
      <w:r w:rsidR="000D748F" w:rsidRPr="005C129E">
        <w:rPr>
          <w:rFonts w:ascii="Times New Roman" w:hAnsi="Times New Roman" w:cs="Arial"/>
          <w:sz w:val="24"/>
          <w:szCs w:val="24"/>
          <w:lang w:val="en-GB"/>
        </w:rPr>
        <w:instrText xml:space="preserve"> ADDIN EN.CITE </w:instrText>
      </w:r>
      <w:r w:rsidR="000D748F" w:rsidRPr="005C129E">
        <w:rPr>
          <w:rFonts w:ascii="Times New Roman" w:hAnsi="Times New Roman" w:cs="Arial"/>
          <w:sz w:val="24"/>
          <w:szCs w:val="24"/>
          <w:lang w:val="en-GB"/>
        </w:rPr>
        <w:fldChar w:fldCharType="begin">
          <w:fldData xml:space="preserve">PEVuZE5vdGU+PENpdGU+PEF1dGhvcj5NYWpvb3I8L0F1dGhvcj48WWVhcj4yMDE2PC9ZZWFyPjxS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==
</w:fldData>
        </w:fldChar>
      </w:r>
      <w:r w:rsidR="000D748F" w:rsidRPr="005C129E">
        <w:rPr>
          <w:rFonts w:ascii="Times New Roman" w:hAnsi="Times New Roman" w:cs="Arial"/>
          <w:sz w:val="24"/>
          <w:szCs w:val="24"/>
          <w:lang w:val="en-GB"/>
        </w:rPr>
        <w:instrText xml:space="preserve"> ADDIN EN.CITE.DATA </w:instrText>
      </w:r>
      <w:r w:rsidR="000D748F" w:rsidRPr="005C129E">
        <w:rPr>
          <w:rFonts w:ascii="Times New Roman" w:hAnsi="Times New Roman" w:cs="Arial"/>
          <w:sz w:val="24"/>
          <w:szCs w:val="24"/>
          <w:lang w:val="en-GB"/>
        </w:rPr>
      </w:r>
      <w:r w:rsidR="000D748F" w:rsidRPr="005C129E">
        <w:rPr>
          <w:rFonts w:ascii="Times New Roman" w:hAnsi="Times New Roman" w:cs="Arial"/>
          <w:sz w:val="24"/>
          <w:szCs w:val="24"/>
          <w:lang w:val="en-GB"/>
        </w:rPr>
        <w:fldChar w:fldCharType="end"/>
      </w:r>
      <w:r w:rsidR="000D748F" w:rsidRPr="005C129E">
        <w:rPr>
          <w:rFonts w:ascii="Times New Roman" w:hAnsi="Times New Roman" w:cs="Arial"/>
          <w:sz w:val="24"/>
          <w:szCs w:val="24"/>
          <w:lang w:val="en-GB"/>
        </w:rPr>
      </w:r>
      <w:r w:rsidR="000D748F" w:rsidRPr="005C129E">
        <w:rPr>
          <w:rFonts w:ascii="Times New Roman" w:hAnsi="Times New Roman" w:cs="Arial"/>
          <w:sz w:val="24"/>
          <w:szCs w:val="24"/>
          <w:lang w:val="en-GB"/>
        </w:rPr>
        <w:fldChar w:fldCharType="separate"/>
      </w:r>
      <w:r w:rsidR="000D748F" w:rsidRPr="005C129E">
        <w:rPr>
          <w:rFonts w:ascii="Times New Roman" w:hAnsi="Times New Roman" w:cs="Arial"/>
          <w:noProof/>
          <w:sz w:val="24"/>
          <w:szCs w:val="24"/>
          <w:vertAlign w:val="superscript"/>
          <w:lang w:val="en-GB"/>
        </w:rPr>
        <w:t>1</w:t>
      </w:r>
      <w:r w:rsidR="000D748F" w:rsidRPr="005C129E">
        <w:rPr>
          <w:rFonts w:ascii="Times New Roman" w:hAnsi="Times New Roman" w:cs="Arial"/>
          <w:sz w:val="24"/>
          <w:szCs w:val="24"/>
          <w:lang w:val="en-GB"/>
        </w:rPr>
        <w:fldChar w:fldCharType="end"/>
      </w:r>
      <w:r w:rsidR="000D748F" w:rsidRPr="005C129E">
        <w:rPr>
          <w:rFonts w:ascii="Times New Roman" w:hAnsi="Times New Roman" w:cs="Arial"/>
          <w:sz w:val="24"/>
          <w:szCs w:val="24"/>
          <w:lang w:val="en-GB"/>
        </w:rPr>
        <w:t xml:space="preserve"> </w:t>
      </w:r>
      <w:r w:rsidR="00687990">
        <w:rPr>
          <w:rFonts w:ascii="Times New Roman" w:hAnsi="Times New Roman"/>
          <w:sz w:val="24"/>
          <w:szCs w:val="24"/>
          <w:lang w:val="en-GB"/>
        </w:rPr>
        <w:t>There are scarce data on</w:t>
      </w:r>
      <w:r w:rsidR="000D748F" w:rsidRPr="005C129E">
        <w:rPr>
          <w:rFonts w:ascii="Times New Roman" w:hAnsi="Times New Roman"/>
          <w:sz w:val="24"/>
          <w:szCs w:val="24"/>
          <w:lang w:val="en-GB"/>
        </w:rPr>
        <w:t xml:space="preserve"> possible treatment options after failure of </w:t>
      </w:r>
      <w:r w:rsidRPr="005C129E">
        <w:rPr>
          <w:rFonts w:ascii="Times New Roman" w:hAnsi="Times New Roman"/>
          <w:sz w:val="24"/>
          <w:szCs w:val="24"/>
          <w:lang w:val="en-GB"/>
        </w:rPr>
        <w:t>allogeneic</w:t>
      </w:r>
      <w:r w:rsidR="000D748F" w:rsidRPr="005C129E">
        <w:rPr>
          <w:rFonts w:ascii="Times New Roman" w:hAnsi="Times New Roman"/>
          <w:sz w:val="24"/>
          <w:szCs w:val="24"/>
          <w:lang w:val="en-GB"/>
        </w:rPr>
        <w:t xml:space="preserve"> strut grafts in fibrous dysplasia of the proximal femur. We evaluated our cohort of 29 patients who were treated with these </w:t>
      </w:r>
      <w:r w:rsidR="00290445" w:rsidRPr="005C129E">
        <w:rPr>
          <w:rFonts w:ascii="Times New Roman" w:hAnsi="Times New Roman"/>
          <w:sz w:val="24"/>
          <w:szCs w:val="24"/>
          <w:lang w:val="en-GB"/>
        </w:rPr>
        <w:t>types</w:t>
      </w:r>
      <w:r w:rsidR="000D748F" w:rsidRPr="005C129E">
        <w:rPr>
          <w:rFonts w:ascii="Times New Roman" w:hAnsi="Times New Roman"/>
          <w:sz w:val="24"/>
          <w:szCs w:val="24"/>
          <w:lang w:val="en-GB"/>
        </w:rPr>
        <w:t xml:space="preserve"> of grafts for failure rates after </w:t>
      </w:r>
      <w:r w:rsidRPr="005C129E">
        <w:rPr>
          <w:rFonts w:ascii="Times New Roman" w:hAnsi="Times New Roman"/>
          <w:sz w:val="24"/>
          <w:szCs w:val="24"/>
          <w:lang w:val="en-GB"/>
        </w:rPr>
        <w:t>consecutive</w:t>
      </w:r>
      <w:r w:rsidR="000D748F" w:rsidRPr="005C129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4055D" w:rsidRPr="005C129E">
        <w:rPr>
          <w:rFonts w:ascii="Times New Roman" w:hAnsi="Times New Roman"/>
          <w:sz w:val="24"/>
          <w:szCs w:val="24"/>
          <w:lang w:val="en-GB"/>
        </w:rPr>
        <w:t xml:space="preserve">different </w:t>
      </w:r>
      <w:r w:rsidR="000D748F" w:rsidRPr="005C129E">
        <w:rPr>
          <w:rFonts w:ascii="Times New Roman" w:hAnsi="Times New Roman"/>
          <w:sz w:val="24"/>
          <w:szCs w:val="24"/>
          <w:lang w:val="en-GB"/>
        </w:rPr>
        <w:t>surgical interventions.</w:t>
      </w:r>
    </w:p>
    <w:p w14:paraId="0E932071" w14:textId="77777777" w:rsidR="000D748F" w:rsidRPr="005C129E" w:rsidRDefault="000D748F" w:rsidP="000D748F">
      <w:pPr>
        <w:spacing w:line="480" w:lineRule="auto"/>
        <w:contextualSpacing/>
        <w:rPr>
          <w:rFonts w:ascii="Times New Roman" w:hAnsi="Times New Roman"/>
          <w:sz w:val="24"/>
          <w:szCs w:val="24"/>
          <w:lang w:val="en-GB"/>
        </w:rPr>
      </w:pPr>
    </w:p>
    <w:p w14:paraId="3D50357D" w14:textId="3A56A890" w:rsidR="000D748F" w:rsidRPr="005C129E" w:rsidRDefault="000D748F" w:rsidP="000D748F">
      <w:pPr>
        <w:spacing w:line="480" w:lineRule="auto"/>
        <w:rPr>
          <w:rFonts w:ascii="Times New Roman" w:hAnsi="Times New Roman" w:cs="Arial"/>
          <w:sz w:val="24"/>
          <w:szCs w:val="24"/>
          <w:lang w:val="en-GB"/>
        </w:rPr>
      </w:pPr>
      <w:r w:rsidRPr="005C129E">
        <w:rPr>
          <w:rFonts w:ascii="Times New Roman" w:hAnsi="Times New Roman"/>
          <w:b/>
          <w:sz w:val="24"/>
          <w:szCs w:val="24"/>
          <w:lang w:val="en-GB"/>
        </w:rPr>
        <w:t>Patients and Methods</w:t>
      </w:r>
      <w:r w:rsidRPr="005C129E">
        <w:rPr>
          <w:rFonts w:ascii="Times New Roman" w:hAnsi="Times New Roman"/>
          <w:b/>
          <w:sz w:val="24"/>
          <w:szCs w:val="24"/>
          <w:lang w:val="en-GB"/>
        </w:rPr>
        <w:br/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In a retrospective study design, we included 29 patients (15 male) with </w:t>
      </w:r>
      <w:r w:rsidR="00290445" w:rsidRPr="005C129E">
        <w:rPr>
          <w:rFonts w:ascii="Times New Roman" w:hAnsi="Times New Roman"/>
          <w:sz w:val="24"/>
          <w:szCs w:val="24"/>
          <w:lang w:val="en-GB"/>
        </w:rPr>
        <w:t>allogeneic</w:t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 strut grafts without osteotomy and/or osteosynthesis between 1980-2013 and with a minimal follow-up of two years after surgery. </w:t>
      </w:r>
      <w:r w:rsidRPr="005C129E">
        <w:rPr>
          <w:rFonts w:ascii="Times New Roman" w:hAnsi="Times New Roman" w:cs="Times New Roman"/>
          <w:sz w:val="24"/>
          <w:szCs w:val="24"/>
          <w:lang w:val="en-GB"/>
        </w:rPr>
        <w:t xml:space="preserve">Mean age a time of surgery was 22,9 years (5-50 years) and </w:t>
      </w:r>
      <w:r w:rsidRPr="005C129E">
        <w:rPr>
          <w:rFonts w:ascii="Times New Roman" w:hAnsi="Times New Roman" w:cs="Arial"/>
          <w:sz w:val="24"/>
          <w:szCs w:val="24"/>
          <w:lang w:val="en-GB"/>
        </w:rPr>
        <w:t>the primary outcome of this study was failure, measured as revision surgery for fracture, progressive deformity or progressive resorption of the graft.</w:t>
      </w:r>
    </w:p>
    <w:p w14:paraId="0F5FD21D" w14:textId="77777777" w:rsidR="00713676" w:rsidRPr="005C129E" w:rsidRDefault="00713676" w:rsidP="000D748F">
      <w:pPr>
        <w:spacing w:line="480" w:lineRule="auto"/>
        <w:rPr>
          <w:rFonts w:ascii="Times New Roman" w:hAnsi="Times New Roman" w:cs="Arial"/>
          <w:sz w:val="24"/>
          <w:szCs w:val="24"/>
          <w:lang w:val="en-GB"/>
        </w:rPr>
      </w:pPr>
    </w:p>
    <w:p w14:paraId="799F5C7A" w14:textId="203E8499" w:rsidR="00713676" w:rsidRPr="005C129E" w:rsidRDefault="00713676" w:rsidP="00713676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5C129E">
        <w:rPr>
          <w:rFonts w:ascii="Times New Roman" w:hAnsi="Times New Roman"/>
          <w:b/>
          <w:sz w:val="24"/>
          <w:szCs w:val="24"/>
          <w:lang w:val="en-GB"/>
        </w:rPr>
        <w:t>Results</w:t>
      </w:r>
      <w:r w:rsidRPr="005C129E">
        <w:rPr>
          <w:rFonts w:ascii="Times New Roman" w:hAnsi="Times New Roman"/>
          <w:b/>
          <w:sz w:val="24"/>
          <w:szCs w:val="24"/>
          <w:lang w:val="en-GB"/>
        </w:rPr>
        <w:br/>
      </w:r>
      <w:r w:rsidRPr="005C129E">
        <w:rPr>
          <w:rFonts w:ascii="Times New Roman" w:hAnsi="Times New Roman"/>
          <w:sz w:val="24"/>
          <w:szCs w:val="24"/>
          <w:lang w:val="en-GB"/>
        </w:rPr>
        <w:t>After a median follow up after surgery of 9 years (2-37yrs) 14 patients (48%) needed a reoperation after the first ACGS. Patients presenting with a pathological fracture before index ACGS had an increased risk for failure (p&lt;0.05). Mean age at time of failure was 27 years (14-42), median time to failure was 4.5 years (0-20 y</w:t>
      </w:r>
      <w:r w:rsidR="00290445">
        <w:rPr>
          <w:rFonts w:ascii="Times New Roman" w:hAnsi="Times New Roman"/>
          <w:sz w:val="24"/>
          <w:szCs w:val="24"/>
          <w:lang w:val="en-GB"/>
        </w:rPr>
        <w:t>ea</w:t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rs) and gender was evenly distributed. Failure mechanisms were resorption (50%), fracture (43%) and one patient needed a reoperation as a result of progressive deformity of the proximal femur. On average patients with a reoperation had 1.9 reoperations (± 1.4SD) compared to 0.9 (± 1.4SD) reoperations in the whole group of FD patients. Seven patients were treated again with </w:t>
      </w:r>
      <w:r w:rsidR="00290445" w:rsidRPr="005C129E">
        <w:rPr>
          <w:rFonts w:ascii="Times New Roman" w:hAnsi="Times New Roman"/>
          <w:sz w:val="24"/>
          <w:szCs w:val="24"/>
          <w:lang w:val="en-GB"/>
        </w:rPr>
        <w:t>allogeneic</w:t>
      </w:r>
      <w:r w:rsidR="005C129E" w:rsidRPr="005C129E">
        <w:rPr>
          <w:rFonts w:ascii="Times New Roman" w:hAnsi="Times New Roman"/>
          <w:sz w:val="24"/>
          <w:szCs w:val="24"/>
          <w:lang w:val="en-GB"/>
        </w:rPr>
        <w:t xml:space="preserve"> strut grafts</w:t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, two with intramedullary nails, four had severe bowing of the femur and received a blade plate </w:t>
      </w:r>
      <w:r w:rsidRPr="005C129E">
        <w:rPr>
          <w:rFonts w:ascii="Times New Roman" w:hAnsi="Times New Roman"/>
          <w:sz w:val="24"/>
          <w:szCs w:val="24"/>
          <w:lang w:val="en-GB"/>
        </w:rPr>
        <w:lastRenderedPageBreak/>
        <w:t xml:space="preserve">(3 custom made) and one patient was treated with prevot pins. Four out of seven patients with consecutive </w:t>
      </w:r>
      <w:r w:rsidR="00264EC9" w:rsidRPr="005C129E">
        <w:rPr>
          <w:rFonts w:ascii="Times New Roman" w:hAnsi="Times New Roman"/>
          <w:sz w:val="24"/>
          <w:szCs w:val="24"/>
          <w:lang w:val="en-GB"/>
        </w:rPr>
        <w:t>allogeneic</w:t>
      </w:r>
      <w:r w:rsidR="005C129E" w:rsidRPr="005C129E">
        <w:rPr>
          <w:rFonts w:ascii="Times New Roman" w:hAnsi="Times New Roman"/>
          <w:sz w:val="24"/>
          <w:szCs w:val="24"/>
          <w:lang w:val="en-GB"/>
        </w:rPr>
        <w:t xml:space="preserve"> strut grafts</w:t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 and the patient with prevot pins needed at least one more revision surgery as a result of consecutive failure. All patients who received a blade plate (4) or intramedullary nail (3) had improvement of pain and mobility and did not need another reoperation. </w:t>
      </w:r>
    </w:p>
    <w:p w14:paraId="6A0C6C30" w14:textId="6C7AF0A2" w:rsidR="00713676" w:rsidRPr="005C129E" w:rsidRDefault="00713676" w:rsidP="00713676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5C129E">
        <w:rPr>
          <w:rFonts w:ascii="Times New Roman" w:hAnsi="Times New Roman"/>
          <w:b/>
          <w:sz w:val="24"/>
          <w:szCs w:val="24"/>
          <w:lang w:val="en-GB"/>
        </w:rPr>
        <w:t>Conclusion</w:t>
      </w:r>
      <w:r w:rsidRPr="005C129E">
        <w:rPr>
          <w:rFonts w:ascii="Times New Roman" w:hAnsi="Times New Roman"/>
          <w:b/>
          <w:sz w:val="24"/>
          <w:szCs w:val="24"/>
          <w:lang w:val="en-GB"/>
        </w:rPr>
        <w:br/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These data show that </w:t>
      </w:r>
      <w:r w:rsidR="007C64EE" w:rsidRPr="005C129E">
        <w:rPr>
          <w:rFonts w:ascii="Times New Roman" w:hAnsi="Times New Roman"/>
          <w:sz w:val="24"/>
          <w:szCs w:val="24"/>
          <w:lang w:val="en-GB"/>
        </w:rPr>
        <w:t>f</w:t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ailure after </w:t>
      </w:r>
      <w:r w:rsidR="00290445" w:rsidRPr="005C129E">
        <w:rPr>
          <w:rFonts w:ascii="Times New Roman" w:hAnsi="Times New Roman"/>
          <w:sz w:val="24"/>
          <w:szCs w:val="24"/>
          <w:lang w:val="en-GB"/>
        </w:rPr>
        <w:t>allogeneic</w:t>
      </w:r>
      <w:r w:rsidR="007C64EE" w:rsidRPr="005C129E">
        <w:rPr>
          <w:rFonts w:ascii="Times New Roman" w:hAnsi="Times New Roman"/>
          <w:sz w:val="24"/>
          <w:szCs w:val="24"/>
          <w:lang w:val="en-GB"/>
        </w:rPr>
        <w:t xml:space="preserve"> strut grafts</w:t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 in general occurs in the first three years after surgery. </w:t>
      </w:r>
      <w:r w:rsidR="007C64EE" w:rsidRPr="005C129E">
        <w:rPr>
          <w:rFonts w:ascii="Times New Roman" w:hAnsi="Times New Roman"/>
          <w:sz w:val="24"/>
          <w:szCs w:val="24"/>
          <w:lang w:val="en-GB"/>
        </w:rPr>
        <w:t>F</w:t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ailure of </w:t>
      </w:r>
      <w:r w:rsidR="00290445" w:rsidRPr="005C129E">
        <w:rPr>
          <w:rFonts w:ascii="Times New Roman" w:hAnsi="Times New Roman"/>
          <w:sz w:val="24"/>
          <w:szCs w:val="24"/>
          <w:lang w:val="en-GB"/>
        </w:rPr>
        <w:t>allogeneic</w:t>
      </w:r>
      <w:r w:rsidR="007C64EE" w:rsidRPr="005C129E">
        <w:rPr>
          <w:rFonts w:ascii="Times New Roman" w:hAnsi="Times New Roman"/>
          <w:sz w:val="24"/>
          <w:szCs w:val="24"/>
          <w:lang w:val="en-GB"/>
        </w:rPr>
        <w:t xml:space="preserve"> strut grafts</w:t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 in </w:t>
      </w:r>
      <w:r w:rsidR="007C64EE" w:rsidRPr="005C129E">
        <w:rPr>
          <w:rFonts w:ascii="Times New Roman" w:hAnsi="Times New Roman"/>
          <w:sz w:val="24"/>
          <w:szCs w:val="24"/>
          <w:lang w:val="en-GB"/>
        </w:rPr>
        <w:t>fibrous dysplasia</w:t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 of the proximal femur appears to be a risk factor for failure of a consecutive </w:t>
      </w:r>
      <w:r w:rsidR="007C64EE" w:rsidRPr="005C129E">
        <w:rPr>
          <w:rFonts w:ascii="Times New Roman" w:hAnsi="Times New Roman"/>
          <w:sz w:val="24"/>
          <w:szCs w:val="24"/>
          <w:lang w:val="en-GB"/>
        </w:rPr>
        <w:t xml:space="preserve">intervention </w:t>
      </w:r>
      <w:r w:rsidR="00290445">
        <w:rPr>
          <w:rFonts w:ascii="Times New Roman" w:hAnsi="Times New Roman"/>
          <w:sz w:val="24"/>
          <w:szCs w:val="24"/>
          <w:lang w:val="en-GB"/>
        </w:rPr>
        <w:t xml:space="preserve">with the use of </w:t>
      </w:r>
      <w:r w:rsidR="007C64EE" w:rsidRPr="005C129E">
        <w:rPr>
          <w:rFonts w:ascii="Times New Roman" w:hAnsi="Times New Roman"/>
          <w:sz w:val="24"/>
          <w:szCs w:val="24"/>
          <w:lang w:val="en-GB"/>
        </w:rPr>
        <w:t>these grafts</w:t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. We therefore recommend treating patients with primary failure </w:t>
      </w:r>
      <w:r w:rsidRPr="00290445">
        <w:rPr>
          <w:rFonts w:ascii="Times New Roman" w:hAnsi="Times New Roman"/>
          <w:sz w:val="24"/>
          <w:szCs w:val="24"/>
          <w:lang w:val="en-GB"/>
        </w:rPr>
        <w:t xml:space="preserve">of </w:t>
      </w:r>
      <w:r w:rsidR="00290445" w:rsidRPr="00290445">
        <w:rPr>
          <w:rFonts w:ascii="Times New Roman" w:hAnsi="Times New Roman"/>
          <w:sz w:val="24"/>
          <w:szCs w:val="24"/>
          <w:lang w:val="en-GB"/>
        </w:rPr>
        <w:t>alloge</w:t>
      </w:r>
      <w:r w:rsidR="005C129E" w:rsidRPr="00290445">
        <w:rPr>
          <w:rFonts w:ascii="Times New Roman" w:hAnsi="Times New Roman"/>
          <w:sz w:val="24"/>
          <w:szCs w:val="24"/>
          <w:lang w:val="en-GB"/>
        </w:rPr>
        <w:t>n</w:t>
      </w:r>
      <w:r w:rsidR="00290445" w:rsidRPr="00290445">
        <w:rPr>
          <w:rFonts w:ascii="Times New Roman" w:hAnsi="Times New Roman"/>
          <w:sz w:val="24"/>
          <w:szCs w:val="24"/>
          <w:lang w:val="en-GB"/>
        </w:rPr>
        <w:t>e</w:t>
      </w:r>
      <w:r w:rsidR="005C129E" w:rsidRPr="00290445">
        <w:rPr>
          <w:rFonts w:ascii="Times New Roman" w:hAnsi="Times New Roman"/>
          <w:sz w:val="24"/>
          <w:szCs w:val="24"/>
          <w:lang w:val="en-GB"/>
        </w:rPr>
        <w:t>ic strut grafts</w:t>
      </w:r>
      <w:r w:rsidRPr="00290445">
        <w:rPr>
          <w:rFonts w:ascii="Times New Roman" w:hAnsi="Times New Roman"/>
          <w:sz w:val="24"/>
          <w:szCs w:val="24"/>
          <w:lang w:val="en-GB"/>
        </w:rPr>
        <w:t xml:space="preserve"> with</w:t>
      </w:r>
      <w:r w:rsidRPr="005C129E">
        <w:rPr>
          <w:rFonts w:ascii="Times New Roman" w:hAnsi="Times New Roman"/>
          <w:sz w:val="24"/>
          <w:szCs w:val="24"/>
          <w:lang w:val="en-GB"/>
        </w:rPr>
        <w:t xml:space="preserve"> an additional osteosynthesis of the proximal femur.</w:t>
      </w:r>
      <w:r w:rsidR="00426A70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920DD38" w14:textId="77777777" w:rsidR="000D748F" w:rsidRPr="005C129E" w:rsidRDefault="000D748F" w:rsidP="000D748F">
      <w:pPr>
        <w:spacing w:line="480" w:lineRule="auto"/>
        <w:contextualSpacing/>
        <w:rPr>
          <w:rFonts w:ascii="Times New Roman" w:hAnsi="Times New Roman" w:cs="Arial"/>
          <w:sz w:val="24"/>
          <w:szCs w:val="24"/>
          <w:lang w:val="en-GB"/>
        </w:rPr>
      </w:pPr>
    </w:p>
    <w:p w14:paraId="0CD37AE6" w14:textId="77777777" w:rsidR="000D748F" w:rsidRPr="005C129E" w:rsidRDefault="000D748F" w:rsidP="000D748F">
      <w:pPr>
        <w:pStyle w:val="EndNoteBibliography"/>
        <w:spacing w:line="480" w:lineRule="auto"/>
        <w:ind w:left="720" w:hanging="720"/>
        <w:rPr>
          <w:noProof/>
          <w:lang w:val="en-GB"/>
        </w:rPr>
      </w:pPr>
      <w:r w:rsidRPr="005C129E">
        <w:rPr>
          <w:rFonts w:ascii="Times New Roman" w:hAnsi="Times New Roman" w:cs="Arial"/>
          <w:sz w:val="24"/>
          <w:szCs w:val="24"/>
          <w:lang w:val="en-GB"/>
        </w:rPr>
        <w:fldChar w:fldCharType="begin"/>
      </w:r>
      <w:r w:rsidRPr="005C129E">
        <w:rPr>
          <w:rFonts w:ascii="Times New Roman" w:hAnsi="Times New Roman" w:cs="Arial"/>
          <w:sz w:val="24"/>
          <w:szCs w:val="24"/>
          <w:lang w:val="en-GB"/>
        </w:rPr>
        <w:instrText xml:space="preserve"> ADDIN EN.REFLIST </w:instrText>
      </w:r>
      <w:r w:rsidRPr="005C129E">
        <w:rPr>
          <w:rFonts w:ascii="Times New Roman" w:hAnsi="Times New Roman" w:cs="Arial"/>
          <w:sz w:val="24"/>
          <w:szCs w:val="24"/>
          <w:lang w:val="en-GB"/>
        </w:rPr>
        <w:fldChar w:fldCharType="separate"/>
      </w:r>
      <w:r w:rsidRPr="005C129E">
        <w:rPr>
          <w:noProof/>
          <w:lang w:val="en-GB"/>
        </w:rPr>
        <w:t>1.</w:t>
      </w:r>
      <w:r w:rsidRPr="005C129E">
        <w:rPr>
          <w:noProof/>
          <w:lang w:val="en-GB"/>
        </w:rPr>
        <w:tab/>
        <w:t xml:space="preserve">Majoor BC, Peeters-Boef MJ, van de Sande MA, Appelman-Dijkstra NM, Hamdy NA, Dijkstra PD. What Is the Role of Allogeneic Cortical Strut Grafts in the Treatment of Fibrous Dysplasia of the Proximal Femur? </w:t>
      </w:r>
      <w:r w:rsidRPr="005C129E">
        <w:rPr>
          <w:i/>
          <w:noProof/>
          <w:lang w:val="en-GB"/>
        </w:rPr>
        <w:t xml:space="preserve">Clinical orthopaedics and related research. </w:t>
      </w:r>
      <w:r w:rsidRPr="005C129E">
        <w:rPr>
          <w:noProof/>
          <w:lang w:val="en-GB"/>
        </w:rPr>
        <w:t>Mar 28 2016.</w:t>
      </w:r>
    </w:p>
    <w:p w14:paraId="281E7CF5" w14:textId="77777777" w:rsidR="00C14014" w:rsidRPr="005C129E" w:rsidRDefault="000D748F" w:rsidP="000D748F">
      <w:pPr>
        <w:spacing w:line="480" w:lineRule="auto"/>
        <w:contextualSpacing/>
        <w:rPr>
          <w:rFonts w:ascii="Times New Roman" w:hAnsi="Times New Roman" w:cs="Arial"/>
          <w:sz w:val="24"/>
          <w:szCs w:val="24"/>
          <w:lang w:val="en-GB"/>
        </w:rPr>
      </w:pPr>
      <w:r w:rsidRPr="005C129E">
        <w:rPr>
          <w:rFonts w:ascii="Times New Roman" w:hAnsi="Times New Roman" w:cs="Arial"/>
          <w:sz w:val="24"/>
          <w:szCs w:val="24"/>
          <w:lang w:val="en-GB"/>
        </w:rPr>
        <w:fldChar w:fldCharType="end"/>
      </w:r>
    </w:p>
    <w:sectPr w:rsidR="00C14014" w:rsidRPr="005C1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aewz5sfrvpf4e9vaqxsz5r2ddr2zaf00ve&quot;&gt;Endnote library FD-Saved&lt;record-ids&gt;&lt;item&gt;453&lt;/item&gt;&lt;/record-ids&gt;&lt;/item&gt;&lt;/Libraries&gt;"/>
    <w:docVar w:name="Total_Editing_Time" w:val="35"/>
  </w:docVars>
  <w:rsids>
    <w:rsidRoot w:val="00C14014"/>
    <w:rsid w:val="000D748F"/>
    <w:rsid w:val="00264EC9"/>
    <w:rsid w:val="00290445"/>
    <w:rsid w:val="003E242B"/>
    <w:rsid w:val="00426A70"/>
    <w:rsid w:val="0058403D"/>
    <w:rsid w:val="005C129E"/>
    <w:rsid w:val="006619E6"/>
    <w:rsid w:val="00687990"/>
    <w:rsid w:val="00713676"/>
    <w:rsid w:val="007C64EE"/>
    <w:rsid w:val="00A5541A"/>
    <w:rsid w:val="00AE25CE"/>
    <w:rsid w:val="00B8041D"/>
    <w:rsid w:val="00BC1D04"/>
    <w:rsid w:val="00BD0F0B"/>
    <w:rsid w:val="00C14014"/>
    <w:rsid w:val="00C63532"/>
    <w:rsid w:val="00C973D0"/>
    <w:rsid w:val="00D4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C536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0D748F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0D748F"/>
    <w:pPr>
      <w:spacing w:line="240" w:lineRule="auto"/>
    </w:pPr>
    <w:rPr>
      <w:rFonts w:ascii="Calibri" w:hAnsi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0D748F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0D748F"/>
    <w:pPr>
      <w:spacing w:line="240" w:lineRule="auto"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473</Words>
  <Characters>2527</Characters>
  <Application>Microsoft Office Word</Application>
  <DocSecurity>0</DocSecurity>
  <Lines>43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Medisch Centrum Haaglanden en Bronovo-Nebo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Majoor</dc:creator>
  <cp:keywords/>
  <dc:description/>
  <cp:lastModifiedBy>S3G_Apply_Fixed_Case</cp:lastModifiedBy>
  <cp:revision>12</cp:revision>
  <dcterms:created xsi:type="dcterms:W3CDTF">2017-06-23T08:22:00Z</dcterms:created>
  <dcterms:modified xsi:type="dcterms:W3CDTF">2018-04-11T16:20:00Z</dcterms:modified>
</cp:coreProperties>
</file>